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黑体" w:hAnsi="黑体" w:eastAsia="黑体" w:cs="黑体"/>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hint="eastAsia" w:ascii="黑体" w:hAnsi="黑体" w:eastAsia="黑体" w:cs="黑体"/>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2015年度广东省外国专家局部门决算</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both"/>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目 录 </w:t>
      </w: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both"/>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both"/>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第一部分 广东省外国专家局概况 </w:t>
      </w: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一、部门机构设置、职能 </w:t>
      </w: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二、人员构成情况 </w:t>
      </w: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第二部分 2015 年度部门决算表 </w:t>
      </w: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一、收入支出决算总表 </w:t>
      </w: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二、收入决算表 </w:t>
      </w: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三、支出决算表 </w:t>
      </w: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四、财政拨款收入支出决算总表 </w:t>
      </w: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五、一般公共预算财政拨款支出决算表 </w:t>
      </w: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六、一般公共预算财政拨款基本支出决算表 </w:t>
      </w: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七、一般公共预算财政拨款“三公”经费支出决算表 </w:t>
      </w: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八、政府性基金预算财政拨款收入支出决算表 </w:t>
      </w: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第三部分 2015年度部门决算情况及重要事项说明   </w:t>
      </w: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第四部分 名词解释 </w:t>
      </w: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both"/>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第一部分 广东省外国专家局概况</w:t>
      </w: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20" w:firstLineChars="0"/>
        <w:jc w:val="both"/>
        <w:textAlignment w:val="auto"/>
        <w:outlineLvl w:val="9"/>
        <w:rPr>
          <w:rFonts w:hint="default" w:ascii="仿宋_GB2312" w:hAnsi="Calibri" w:eastAsia="仿宋_GB2312" w:cs="Times New Roman"/>
          <w:color w:val="000000"/>
          <w:spacing w:val="-2"/>
          <w:kern w:val="2"/>
          <w:sz w:val="32"/>
          <w:szCs w:val="32"/>
          <w:lang w:val="en-US" w:eastAsia="zh-CN" w:bidi="ar-SA"/>
        </w:rPr>
      </w:pPr>
      <w:r>
        <w:rPr>
          <w:rStyle w:val="4"/>
          <w:rFonts w:hint="eastAsia" w:ascii="黑体" w:hAnsi="黑体" w:eastAsia="黑体" w:cs="黑体"/>
          <w:b w:val="0"/>
          <w:bCs/>
          <w:color w:val="000000"/>
          <w:sz w:val="32"/>
          <w:szCs w:val="32"/>
          <w:shd w:val="clear" w:color="070000" w:fill="FFFFFF"/>
          <w:lang w:val="en-US" w:eastAsia="zh-CN"/>
        </w:rPr>
        <w:t>一、</w:t>
      </w:r>
      <w:r>
        <w:rPr>
          <w:rStyle w:val="4"/>
          <w:rFonts w:hint="eastAsia" w:ascii="黑体" w:hAnsi="黑体" w:eastAsia="黑体" w:cs="黑体"/>
          <w:b w:val="0"/>
          <w:bCs/>
          <w:color w:val="000000"/>
          <w:sz w:val="32"/>
          <w:szCs w:val="32"/>
          <w:shd w:val="clear" w:color="070000" w:fill="FFFFFF"/>
        </w:rPr>
        <w:t>部门机构设置、职能</w:t>
      </w:r>
      <w:r>
        <w:rPr>
          <w:rStyle w:val="4"/>
          <w:rFonts w:hint="default" w:ascii="Times New Roman" w:hAnsi="Times New Roman" w:eastAsia="宋体" w:cs="Times New Roman"/>
          <w:color w:val="000000"/>
          <w:sz w:val="24"/>
          <w:szCs w:val="24"/>
          <w:shd w:val="clear" w:color="050000" w:fill="FFFFFF"/>
        </w:rPr>
        <w:br w:type="textWrapping"/>
      </w:r>
      <w:r>
        <w:rPr>
          <w:rFonts w:hint="default" w:ascii="仿宋_GB2312" w:eastAsia="仿宋_GB2312" w:cs="Times New Roman"/>
          <w:color w:val="000000"/>
          <w:spacing w:val="-2"/>
          <w:sz w:val="32"/>
          <w:szCs w:val="32"/>
          <w:lang w:val="en-US" w:eastAsia="zh-CN"/>
        </w:rPr>
        <w:t>　　2009年10月14日，省府办公厅《印发广东省外国专家局主要职责内设机构和人员编制规定的通知》（省府办〔2009〕112号）批准设立广东省外国专家局，副厅级，为省人力资源和社会保障厅管理的行政机构。省外国专家局设3个内设机构：综合处（省引进海外人才智力办公室）、专家管理处、项目管理处。主要负责外国和港澳台专家、教师等专业技术人才和管理人才有关工作，引进海外高层次人才智力，来粤工作回国留学人员的管理服务工作，出国(境)培训项目的审核和管理等工作。</w:t>
      </w:r>
      <w:r>
        <w:rPr>
          <w:rFonts w:hint="eastAsia" w:ascii="仿宋_GB2312" w:eastAsia="仿宋_GB2312" w:cs="Times New Roman"/>
          <w:color w:val="000000"/>
          <w:spacing w:val="-2"/>
          <w:sz w:val="32"/>
          <w:szCs w:val="32"/>
          <w:lang w:val="en-US" w:eastAsia="zh-CN"/>
        </w:rPr>
        <w:t xml:space="preserve"> </w:t>
      </w:r>
      <w:r>
        <w:rPr>
          <w:rFonts w:hint="default" w:ascii="仿宋_GB2312" w:eastAsia="仿宋_GB2312" w:cs="Times New Roman"/>
          <w:color w:val="000000"/>
          <w:spacing w:val="-2"/>
          <w:sz w:val="32"/>
          <w:szCs w:val="32"/>
          <w:lang w:val="en-US" w:eastAsia="zh-CN"/>
        </w:rPr>
        <w:t>2016年</w:t>
      </w:r>
      <w:r>
        <w:rPr>
          <w:rFonts w:hint="eastAsia" w:ascii="仿宋_GB2312" w:eastAsia="仿宋_GB2312" w:cs="Times New Roman"/>
          <w:color w:val="000000"/>
          <w:spacing w:val="-2"/>
          <w:sz w:val="32"/>
          <w:szCs w:val="32"/>
          <w:lang w:val="en-US" w:eastAsia="zh-CN"/>
        </w:rPr>
        <w:t>1月，省编办《关于优化省外国专家局内设机构和职能配置的函》（粤机编办发〔</w:t>
      </w:r>
      <w:r>
        <w:rPr>
          <w:rFonts w:hint="default" w:ascii="仿宋_GB2312" w:eastAsia="仿宋_GB2312" w:cs="Times New Roman"/>
          <w:color w:val="000000"/>
          <w:spacing w:val="-2"/>
          <w:sz w:val="32"/>
          <w:szCs w:val="32"/>
          <w:lang w:val="en-US" w:eastAsia="zh-CN"/>
        </w:rPr>
        <w:t>2016</w:t>
      </w:r>
      <w:r>
        <w:rPr>
          <w:rFonts w:hint="eastAsia" w:ascii="仿宋_GB2312" w:eastAsia="仿宋_GB2312" w:cs="Times New Roman"/>
          <w:color w:val="000000"/>
          <w:spacing w:val="-2"/>
          <w:sz w:val="32"/>
          <w:szCs w:val="32"/>
          <w:lang w:val="en-US" w:eastAsia="zh-CN"/>
        </w:rPr>
        <w:t>〕</w:t>
      </w:r>
      <w:r>
        <w:rPr>
          <w:rFonts w:hint="default" w:ascii="仿宋_GB2312" w:eastAsia="仿宋_GB2312" w:cs="Times New Roman"/>
          <w:color w:val="000000"/>
          <w:spacing w:val="-2"/>
          <w:sz w:val="32"/>
          <w:szCs w:val="32"/>
          <w:lang w:val="en-US" w:eastAsia="zh-CN"/>
        </w:rPr>
        <w:t>7</w:t>
      </w:r>
      <w:r>
        <w:rPr>
          <w:rFonts w:hint="eastAsia" w:ascii="仿宋_GB2312" w:eastAsia="仿宋_GB2312" w:cs="Times New Roman"/>
          <w:color w:val="000000"/>
          <w:spacing w:val="-2"/>
          <w:sz w:val="32"/>
          <w:szCs w:val="32"/>
          <w:lang w:val="en-US" w:eastAsia="zh-CN"/>
        </w:rPr>
        <w:t>号）</w:t>
      </w:r>
      <w:r>
        <w:rPr>
          <w:rFonts w:hint="eastAsia" w:ascii="仿宋_GB2312" w:hAnsi="Calibri" w:eastAsia="仿宋_GB2312" w:cs="Times New Roman"/>
          <w:color w:val="000000"/>
          <w:spacing w:val="-2"/>
          <w:sz w:val="32"/>
          <w:szCs w:val="32"/>
        </w:rPr>
        <w:t>进一步优化省外国专家局职能配置，</w:t>
      </w:r>
      <w:r>
        <w:rPr>
          <w:rFonts w:hint="eastAsia" w:ascii="仿宋_GB2312" w:eastAsia="仿宋_GB2312" w:cs="Times New Roman"/>
          <w:color w:val="000000"/>
          <w:spacing w:val="-2"/>
          <w:sz w:val="32"/>
          <w:szCs w:val="32"/>
          <w:lang w:val="en-US" w:eastAsia="zh-CN"/>
        </w:rPr>
        <w:t>取消“</w:t>
      </w:r>
      <w:bookmarkStart w:id="0" w:name="OLE_LINK1"/>
      <w:r>
        <w:rPr>
          <w:rFonts w:hint="eastAsia" w:ascii="仿宋_GB2312" w:eastAsia="仿宋_GB2312" w:cs="Times New Roman"/>
          <w:color w:val="000000"/>
          <w:spacing w:val="-2"/>
          <w:sz w:val="32"/>
          <w:szCs w:val="32"/>
          <w:lang w:val="en-US" w:eastAsia="zh-CN"/>
        </w:rPr>
        <w:t>单位公派留学</w:t>
      </w:r>
      <w:bookmarkEnd w:id="0"/>
      <w:r>
        <w:rPr>
          <w:rFonts w:hint="eastAsia" w:ascii="仿宋_GB2312" w:eastAsia="仿宋_GB2312" w:cs="Times New Roman"/>
          <w:color w:val="000000"/>
          <w:spacing w:val="-2"/>
          <w:sz w:val="32"/>
          <w:szCs w:val="32"/>
          <w:lang w:val="en-US" w:eastAsia="zh-CN"/>
        </w:rPr>
        <w:t>审核”职责，</w:t>
      </w:r>
      <w:r>
        <w:rPr>
          <w:rFonts w:hint="eastAsia" w:ascii="仿宋_GB2312" w:hAnsi="Calibri" w:eastAsia="仿宋_GB2312" w:cs="Times New Roman"/>
          <w:color w:val="000000"/>
          <w:spacing w:val="-2"/>
          <w:sz w:val="32"/>
          <w:szCs w:val="32"/>
        </w:rPr>
        <w:t>增加</w:t>
      </w:r>
      <w:r>
        <w:rPr>
          <w:rFonts w:hint="eastAsia" w:ascii="仿宋_GB2312" w:eastAsia="仿宋_GB2312" w:cs="Times New Roman"/>
          <w:color w:val="000000"/>
          <w:spacing w:val="-2"/>
          <w:sz w:val="32"/>
          <w:szCs w:val="32"/>
          <w:lang w:eastAsia="zh-CN"/>
        </w:rPr>
        <w:t>“</w:t>
      </w:r>
      <w:r>
        <w:rPr>
          <w:rFonts w:hint="eastAsia" w:ascii="仿宋_GB2312" w:hAnsi="Calibri" w:eastAsia="仿宋_GB2312" w:cs="Times New Roman"/>
          <w:color w:val="000000"/>
          <w:spacing w:val="-2"/>
          <w:sz w:val="32"/>
          <w:szCs w:val="32"/>
        </w:rPr>
        <w:t>培育规范人力资源服务机构和社会组织开展引进国外人才智力工作</w:t>
      </w:r>
      <w:r>
        <w:rPr>
          <w:rFonts w:hint="eastAsia" w:ascii="仿宋_GB2312" w:eastAsia="仿宋_GB2312" w:cs="Times New Roman"/>
          <w:color w:val="000000"/>
          <w:spacing w:val="-2"/>
          <w:sz w:val="32"/>
          <w:szCs w:val="32"/>
          <w:lang w:eastAsia="zh-CN"/>
        </w:rPr>
        <w:t>”</w:t>
      </w:r>
      <w:r>
        <w:rPr>
          <w:rFonts w:hint="eastAsia" w:ascii="仿宋_GB2312" w:eastAsia="仿宋_GB2312" w:cs="Times New Roman"/>
          <w:color w:val="000000"/>
          <w:spacing w:val="-2"/>
          <w:sz w:val="32"/>
          <w:szCs w:val="32"/>
          <w:lang w:val="en-US" w:eastAsia="zh-CN"/>
        </w:rPr>
        <w:t>职责</w:t>
      </w:r>
      <w:r>
        <w:rPr>
          <w:rFonts w:hint="eastAsia" w:ascii="仿宋_GB2312" w:hAnsi="Calibri" w:eastAsia="仿宋_GB2312" w:cs="Times New Roman"/>
          <w:color w:val="000000"/>
          <w:spacing w:val="-2"/>
          <w:sz w:val="32"/>
          <w:szCs w:val="32"/>
        </w:rPr>
        <w:t>，</w:t>
      </w:r>
      <w:r>
        <w:rPr>
          <w:rFonts w:hint="eastAsia" w:ascii="仿宋_GB2312" w:eastAsia="仿宋_GB2312" w:cs="Times New Roman"/>
          <w:color w:val="000000"/>
          <w:spacing w:val="-2"/>
          <w:sz w:val="32"/>
          <w:szCs w:val="32"/>
          <w:lang w:val="en-US" w:eastAsia="zh-CN"/>
        </w:rPr>
        <w:t>原综合处加挂的省引进海外人才智力办公室牌子改为在项目管理处加挂，原综合处“来粤回国留学人员申请科研和创业经费资助等管理服务工作，组织国（境）外高层次人才的招聘、交流等活动”职责改由项目管理处承担。综合处增加“拟定引进国（境）外智力规划、政策措施和综合性管理办法”职责。专家管理处增加“组织推荐中国政府友谊奖专家工作”、“承担有关出国（境）培训监督检查工作，查处违规行为”、“负责办理外国专家短期来粤的邀请函”职责。</w:t>
      </w:r>
      <w:r>
        <w:rPr>
          <w:rFonts w:hint="default" w:ascii="Times New Roman" w:hAnsi="Times New Roman" w:eastAsia="宋体" w:cs="Times New Roman"/>
          <w:color w:val="000000"/>
          <w:sz w:val="24"/>
          <w:szCs w:val="24"/>
          <w:shd w:val="clear" w:color="040000" w:fill="FFFFFF"/>
        </w:rPr>
        <w:br w:type="textWrapping"/>
      </w:r>
      <w:r>
        <w:rPr>
          <w:rFonts w:hint="default" w:ascii="Times New Roman" w:hAnsi="Times New Roman" w:eastAsia="宋体" w:cs="Times New Roman"/>
          <w:color w:val="000000"/>
          <w:sz w:val="24"/>
          <w:szCs w:val="24"/>
          <w:shd w:val="clear" w:color="040000" w:fill="FFFFFF"/>
        </w:rPr>
        <w:t>　</w:t>
      </w:r>
      <w:r>
        <w:rPr>
          <w:rStyle w:val="4"/>
          <w:rFonts w:hint="default" w:ascii="楷体" w:hAnsi="楷体" w:eastAsia="楷体" w:cs="楷体"/>
          <w:color w:val="000000"/>
          <w:kern w:val="2"/>
          <w:sz w:val="32"/>
          <w:szCs w:val="32"/>
          <w:shd w:val="clear" w:color="060000" w:fill="FFFFFF"/>
          <w:lang w:val="en-US" w:eastAsia="zh-CN" w:bidi="ar-SA"/>
        </w:rPr>
        <w:t>　</w:t>
      </w:r>
      <w:r>
        <w:rPr>
          <w:rStyle w:val="4"/>
          <w:rFonts w:hint="eastAsia" w:ascii="黑体" w:hAnsi="黑体" w:eastAsia="黑体" w:cs="黑体"/>
          <w:b w:val="0"/>
          <w:bCs/>
          <w:color w:val="000000"/>
          <w:sz w:val="32"/>
          <w:szCs w:val="32"/>
          <w:shd w:val="clear" w:color="070000" w:fill="FFFFFF"/>
          <w:lang w:val="en-US" w:eastAsia="zh-CN"/>
        </w:rPr>
        <w:t>二、</w:t>
      </w:r>
      <w:r>
        <w:rPr>
          <w:rStyle w:val="4"/>
          <w:rFonts w:hint="default" w:ascii="黑体" w:hAnsi="黑体" w:eastAsia="黑体" w:cs="黑体"/>
          <w:b w:val="0"/>
          <w:bCs/>
          <w:color w:val="000000"/>
          <w:sz w:val="32"/>
          <w:szCs w:val="32"/>
          <w:shd w:val="clear" w:color="070000" w:fill="FFFFFF"/>
          <w:lang w:val="en-US" w:eastAsia="zh-CN"/>
        </w:rPr>
        <w:t>人员构成情况</w:t>
      </w:r>
      <w:r>
        <w:rPr>
          <w:rStyle w:val="4"/>
          <w:rFonts w:hint="default" w:ascii="Times New Roman" w:hAnsi="Times New Roman" w:eastAsia="宋体" w:cs="Times New Roman"/>
          <w:color w:val="000000"/>
          <w:sz w:val="24"/>
          <w:szCs w:val="24"/>
          <w:shd w:val="clear" w:color="050000" w:fill="FFFFFF"/>
        </w:rPr>
        <w:br w:type="textWrapping"/>
      </w:r>
      <w:r>
        <w:rPr>
          <w:rFonts w:hint="eastAsia" w:ascii="仿宋_GB2312" w:hAnsi="Calibri" w:eastAsia="仿宋_GB2312" w:cs="Times New Roman"/>
          <w:color w:val="000000"/>
          <w:spacing w:val="-2"/>
          <w:kern w:val="2"/>
          <w:sz w:val="32"/>
          <w:szCs w:val="32"/>
          <w:lang w:val="en-US" w:eastAsia="zh-CN" w:bidi="ar-SA"/>
        </w:rPr>
        <w:t xml:space="preserve">    </w:t>
      </w:r>
      <w:r>
        <w:rPr>
          <w:rFonts w:hint="default" w:ascii="仿宋_GB2312" w:hAnsi="Calibri" w:eastAsia="仿宋_GB2312" w:cs="Times New Roman"/>
          <w:color w:val="000000"/>
          <w:spacing w:val="-2"/>
          <w:kern w:val="2"/>
          <w:sz w:val="32"/>
          <w:szCs w:val="32"/>
          <w:lang w:val="en-US" w:eastAsia="zh-CN" w:bidi="ar-SA"/>
        </w:rPr>
        <w:t>省外国专家局机关行政编制18名。其中：局长1名、副局长2名、正处级领导职数3名、副处级领导职数3名。后勤服务人员数3名。</w:t>
      </w: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sectPr>
          <w:pgSz w:w="11906" w:h="16838"/>
          <w:pgMar w:top="1440" w:right="1800" w:bottom="1440" w:left="1800"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第二部分 2015年度部门决算表</w:t>
      </w:r>
    </w:p>
    <w:tbl>
      <w:tblPr>
        <w:tblStyle w:val="14"/>
        <w:tblW w:w="15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90"/>
        <w:gridCol w:w="571"/>
        <w:gridCol w:w="4062"/>
        <w:gridCol w:w="3990"/>
        <w:gridCol w:w="572"/>
        <w:gridCol w:w="2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7" w:hRule="atLeast"/>
        </w:trPr>
        <w:tc>
          <w:tcPr>
            <w:tcW w:w="15423" w:type="dxa"/>
            <w:gridSpan w:val="6"/>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trPr>
        <w:tc>
          <w:tcPr>
            <w:tcW w:w="3990" w:type="dxa"/>
            <w:shd w:val="clear" w:color="auto" w:fill="auto"/>
            <w:vAlign w:val="bottom"/>
          </w:tcPr>
          <w:p>
            <w:pPr>
              <w:rPr>
                <w:rFonts w:hint="eastAsia" w:ascii="Arial" w:hAnsi="Arial" w:cs="Arial"/>
                <w:i w:val="0"/>
                <w:color w:val="000000"/>
                <w:sz w:val="20"/>
                <w:szCs w:val="20"/>
                <w:u w:val="none"/>
              </w:rPr>
            </w:pPr>
          </w:p>
        </w:tc>
        <w:tc>
          <w:tcPr>
            <w:tcW w:w="571" w:type="dxa"/>
            <w:shd w:val="clear" w:color="auto" w:fill="auto"/>
            <w:vAlign w:val="bottom"/>
          </w:tcPr>
          <w:p>
            <w:pPr>
              <w:rPr>
                <w:rFonts w:hint="default" w:ascii="Arial" w:hAnsi="Arial" w:cs="Arial"/>
                <w:i w:val="0"/>
                <w:color w:val="000000"/>
                <w:sz w:val="20"/>
                <w:szCs w:val="20"/>
                <w:u w:val="none"/>
              </w:rPr>
            </w:pPr>
          </w:p>
        </w:tc>
        <w:tc>
          <w:tcPr>
            <w:tcW w:w="4062" w:type="dxa"/>
            <w:shd w:val="clear" w:color="auto" w:fill="auto"/>
            <w:vAlign w:val="bottom"/>
          </w:tcPr>
          <w:p>
            <w:pPr>
              <w:rPr>
                <w:rFonts w:hint="default" w:ascii="Arial" w:hAnsi="Arial" w:cs="Arial"/>
                <w:i w:val="0"/>
                <w:color w:val="000000"/>
                <w:sz w:val="20"/>
                <w:szCs w:val="20"/>
                <w:u w:val="none"/>
              </w:rPr>
            </w:pPr>
          </w:p>
        </w:tc>
        <w:tc>
          <w:tcPr>
            <w:tcW w:w="3990" w:type="dxa"/>
            <w:shd w:val="clear" w:color="auto" w:fill="auto"/>
            <w:vAlign w:val="bottom"/>
          </w:tcPr>
          <w:p>
            <w:pPr>
              <w:rPr>
                <w:rFonts w:hint="default" w:ascii="Arial" w:hAnsi="Arial" w:cs="Arial"/>
                <w:i w:val="0"/>
                <w:color w:val="000000"/>
                <w:sz w:val="20"/>
                <w:szCs w:val="20"/>
                <w:u w:val="none"/>
              </w:rPr>
            </w:pPr>
          </w:p>
        </w:tc>
        <w:tc>
          <w:tcPr>
            <w:tcW w:w="572" w:type="dxa"/>
            <w:shd w:val="clear" w:color="auto" w:fill="auto"/>
            <w:vAlign w:val="bottom"/>
          </w:tcPr>
          <w:p>
            <w:pPr>
              <w:rPr>
                <w:rFonts w:hint="default" w:ascii="Arial" w:hAnsi="Arial" w:cs="Arial"/>
                <w:i w:val="0"/>
                <w:color w:val="000000"/>
                <w:sz w:val="20"/>
                <w:szCs w:val="20"/>
                <w:u w:val="none"/>
              </w:rPr>
            </w:pPr>
          </w:p>
        </w:tc>
        <w:tc>
          <w:tcPr>
            <w:tcW w:w="2238"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 w:hRule="atLeast"/>
        </w:trPr>
        <w:tc>
          <w:tcPr>
            <w:tcW w:w="399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部门：广东省外国专家局</w:t>
            </w:r>
          </w:p>
        </w:tc>
        <w:tc>
          <w:tcPr>
            <w:tcW w:w="571" w:type="dxa"/>
            <w:shd w:val="clear" w:color="auto" w:fill="auto"/>
            <w:vAlign w:val="bottom"/>
          </w:tcPr>
          <w:p>
            <w:pPr>
              <w:rPr>
                <w:rFonts w:hint="default" w:ascii="Arial" w:hAnsi="Arial" w:cs="Arial"/>
                <w:i w:val="0"/>
                <w:color w:val="000000"/>
                <w:sz w:val="20"/>
                <w:szCs w:val="20"/>
                <w:u w:val="none"/>
              </w:rPr>
            </w:pPr>
          </w:p>
        </w:tc>
        <w:tc>
          <w:tcPr>
            <w:tcW w:w="4062" w:type="dxa"/>
            <w:shd w:val="clear" w:color="auto" w:fill="auto"/>
            <w:vAlign w:val="bottom"/>
          </w:tcPr>
          <w:p>
            <w:pPr>
              <w:rPr>
                <w:rFonts w:hint="default" w:ascii="Arial" w:hAnsi="Arial" w:cs="Arial"/>
                <w:i w:val="0"/>
                <w:color w:val="000000"/>
                <w:sz w:val="20"/>
                <w:szCs w:val="20"/>
                <w:u w:val="none"/>
              </w:rPr>
            </w:pPr>
          </w:p>
        </w:tc>
        <w:tc>
          <w:tcPr>
            <w:tcW w:w="3990" w:type="dxa"/>
            <w:shd w:val="clear" w:color="auto" w:fill="auto"/>
            <w:vAlign w:val="bottom"/>
          </w:tcPr>
          <w:p>
            <w:pPr>
              <w:rPr>
                <w:rFonts w:hint="default" w:ascii="Arial" w:hAnsi="Arial" w:cs="Arial"/>
                <w:i w:val="0"/>
                <w:color w:val="000000"/>
                <w:sz w:val="20"/>
                <w:szCs w:val="20"/>
                <w:u w:val="none"/>
              </w:rPr>
            </w:pPr>
          </w:p>
        </w:tc>
        <w:tc>
          <w:tcPr>
            <w:tcW w:w="572" w:type="dxa"/>
            <w:shd w:val="clear" w:color="auto" w:fill="auto"/>
            <w:vAlign w:val="bottom"/>
          </w:tcPr>
          <w:p>
            <w:pPr>
              <w:rPr>
                <w:rFonts w:hint="default" w:ascii="Arial" w:hAnsi="Arial" w:cs="Arial"/>
                <w:i w:val="0"/>
                <w:color w:val="000000"/>
                <w:sz w:val="20"/>
                <w:szCs w:val="20"/>
                <w:u w:val="none"/>
              </w:rPr>
            </w:pPr>
          </w:p>
        </w:tc>
        <w:tc>
          <w:tcPr>
            <w:tcW w:w="2238"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6" w:hRule="atLeast"/>
        </w:trPr>
        <w:tc>
          <w:tcPr>
            <w:tcW w:w="8623" w:type="dxa"/>
            <w:gridSpan w:val="3"/>
            <w:tcBorders>
              <w:top w:val="single" w:color="000000" w:sz="12"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6800" w:type="dxa"/>
            <w:gridSpan w:val="3"/>
            <w:tcBorders>
              <w:top w:val="single" w:color="000000" w:sz="12"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406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238" w:type="dxa"/>
            <w:tcBorders>
              <w:top w:val="single" w:color="000000" w:sz="4"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71" w:type="dxa"/>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406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72" w:type="dxa"/>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238" w:type="dxa"/>
            <w:tcBorders>
              <w:top w:val="single" w:color="000000" w:sz="4"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一、财政拨款收入</w:t>
            </w: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1,287.35</w:t>
            </w: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其中：政府性基金预算财政拨款</w:t>
            </w: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二、上级补助收入</w:t>
            </w: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0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三、事业收入</w:t>
            </w: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0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四、经营收入</w:t>
            </w: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五、附属单位上缴收入</w:t>
            </w: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0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六、其他收入</w:t>
            </w: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0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0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0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0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0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0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0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0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0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0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0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十八、国土海洋气象等支出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0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0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40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40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1,288.89</w:t>
            </w: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40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40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503.89</w:t>
            </w: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其中：提取职工福利基金</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其中：项目支出结转和结余</w:t>
            </w: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40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491.47</w:t>
            </w: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转入事业基金</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40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40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99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其中：项目支出结转和结余</w:t>
            </w: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2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7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40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990" w:type="dxa"/>
            <w:tcBorders>
              <w:top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2238" w:type="dxa"/>
            <w:tcBorders>
              <w:top w:val="single" w:color="000000" w:sz="4" w:space="0"/>
              <w:bottom w:val="single" w:color="000000" w:sz="4" w:space="0"/>
              <w:right w:val="single" w:color="000000" w:sz="12"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 w:hRule="atLeast"/>
        </w:trPr>
        <w:tc>
          <w:tcPr>
            <w:tcW w:w="3990" w:type="dxa"/>
            <w:tcBorders>
              <w:top w:val="single" w:color="000000" w:sz="4" w:space="0"/>
              <w:left w:val="single" w:color="000000" w:sz="12" w:space="0"/>
              <w:bottom w:val="single" w:color="000000" w:sz="12"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1" w:type="dxa"/>
            <w:tcBorders>
              <w:top w:val="single" w:color="000000" w:sz="4" w:space="0"/>
              <w:bottom w:val="single" w:color="000000" w:sz="12"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4062"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1,792.78</w:t>
            </w:r>
          </w:p>
        </w:tc>
        <w:tc>
          <w:tcPr>
            <w:tcW w:w="3990" w:type="dxa"/>
            <w:tcBorders>
              <w:top w:val="single" w:color="000000" w:sz="4" w:space="0"/>
              <w:bottom w:val="single" w:color="000000" w:sz="12"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2" w:type="dxa"/>
            <w:tcBorders>
              <w:top w:val="single" w:color="000000" w:sz="4" w:space="0"/>
              <w:bottom w:val="single" w:color="000000" w:sz="12"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2238" w:type="dxa"/>
            <w:tcBorders>
              <w:top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6" w:hRule="atLeast"/>
        </w:trPr>
        <w:tc>
          <w:tcPr>
            <w:tcW w:w="15423"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注：1.本表反映部门本年度的总收支和年末结转结余情况。</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20" w:firstLineChars="0"/>
        <w:jc w:val="left"/>
        <w:textAlignment w:val="auto"/>
        <w:outlineLvl w:val="9"/>
        <w:rPr>
          <w:rFonts w:hint="default" w:ascii="仿宋_GB2312" w:hAnsi="Calibri" w:eastAsia="仿宋_GB2312" w:cs="Times New Roman"/>
          <w:color w:val="000000"/>
          <w:spacing w:val="-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20" w:firstLineChars="0"/>
        <w:jc w:val="left"/>
        <w:textAlignment w:val="auto"/>
        <w:outlineLvl w:val="9"/>
        <w:rPr>
          <w:rFonts w:hint="default" w:ascii="仿宋_GB2312" w:hAnsi="Calibri" w:eastAsia="仿宋_GB2312" w:cs="Times New Roman"/>
          <w:color w:val="000000"/>
          <w:spacing w:val="-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20" w:firstLineChars="0"/>
        <w:jc w:val="left"/>
        <w:textAlignment w:val="auto"/>
        <w:outlineLvl w:val="9"/>
        <w:rPr>
          <w:rFonts w:hint="default" w:ascii="仿宋_GB2312" w:hAnsi="Calibri" w:eastAsia="仿宋_GB2312" w:cs="Times New Roman"/>
          <w:color w:val="000000"/>
          <w:spacing w:val="-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20" w:firstLineChars="0"/>
        <w:jc w:val="left"/>
        <w:textAlignment w:val="auto"/>
        <w:outlineLvl w:val="9"/>
        <w:rPr>
          <w:rFonts w:hint="default" w:ascii="仿宋_GB2312" w:hAnsi="Calibri" w:eastAsia="仿宋_GB2312" w:cs="Times New Roman"/>
          <w:color w:val="000000"/>
          <w:spacing w:val="-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20" w:firstLineChars="0"/>
        <w:jc w:val="left"/>
        <w:textAlignment w:val="auto"/>
        <w:outlineLvl w:val="9"/>
        <w:rPr>
          <w:rFonts w:hint="default" w:ascii="仿宋_GB2312" w:hAnsi="Calibri" w:eastAsia="仿宋_GB2312" w:cs="Times New Roman"/>
          <w:color w:val="000000"/>
          <w:spacing w:val="-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20" w:firstLineChars="0"/>
        <w:jc w:val="left"/>
        <w:textAlignment w:val="auto"/>
        <w:outlineLvl w:val="9"/>
        <w:rPr>
          <w:rFonts w:hint="default" w:ascii="仿宋_GB2312" w:hAnsi="Calibri" w:eastAsia="仿宋_GB2312" w:cs="Times New Roman"/>
          <w:color w:val="000000"/>
          <w:spacing w:val="-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20" w:firstLineChars="0"/>
        <w:jc w:val="left"/>
        <w:textAlignment w:val="auto"/>
        <w:outlineLvl w:val="9"/>
        <w:rPr>
          <w:rFonts w:hint="default" w:ascii="仿宋_GB2312" w:hAnsi="Calibri" w:eastAsia="仿宋_GB2312" w:cs="Times New Roman"/>
          <w:color w:val="000000"/>
          <w:spacing w:val="-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20" w:firstLineChars="0"/>
        <w:jc w:val="left"/>
        <w:textAlignment w:val="auto"/>
        <w:outlineLvl w:val="9"/>
        <w:rPr>
          <w:rFonts w:hint="default" w:ascii="仿宋_GB2312" w:hAnsi="Calibri" w:eastAsia="仿宋_GB2312" w:cs="Times New Roman"/>
          <w:color w:val="000000"/>
          <w:spacing w:val="-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20" w:firstLineChars="0"/>
        <w:jc w:val="left"/>
        <w:textAlignment w:val="auto"/>
        <w:outlineLvl w:val="9"/>
        <w:rPr>
          <w:rFonts w:hint="default" w:ascii="仿宋_GB2312" w:hAnsi="Calibri" w:eastAsia="仿宋_GB2312" w:cs="Times New Roman"/>
          <w:color w:val="000000"/>
          <w:spacing w:val="-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20" w:firstLineChars="0"/>
        <w:jc w:val="left"/>
        <w:textAlignment w:val="auto"/>
        <w:outlineLvl w:val="9"/>
        <w:rPr>
          <w:rFonts w:hint="default" w:ascii="仿宋_GB2312" w:hAnsi="Calibri" w:eastAsia="仿宋_GB2312" w:cs="Times New Roman"/>
          <w:color w:val="000000"/>
          <w:spacing w:val="-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20" w:firstLineChars="0"/>
        <w:jc w:val="left"/>
        <w:textAlignment w:val="auto"/>
        <w:outlineLvl w:val="9"/>
        <w:rPr>
          <w:rFonts w:hint="default" w:ascii="仿宋_GB2312" w:hAnsi="Calibri" w:eastAsia="仿宋_GB2312" w:cs="Times New Roman"/>
          <w:color w:val="000000"/>
          <w:spacing w:val="-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20" w:firstLineChars="0"/>
        <w:jc w:val="left"/>
        <w:textAlignment w:val="auto"/>
        <w:outlineLvl w:val="9"/>
        <w:rPr>
          <w:rFonts w:hint="default" w:ascii="仿宋_GB2312" w:hAnsi="Calibri" w:eastAsia="仿宋_GB2312" w:cs="Times New Roman"/>
          <w:color w:val="000000"/>
          <w:spacing w:val="-2"/>
          <w:kern w:val="2"/>
          <w:sz w:val="32"/>
          <w:szCs w:val="32"/>
          <w:lang w:val="en-US" w:eastAsia="zh-CN" w:bidi="ar-SA"/>
        </w:rPr>
      </w:pPr>
    </w:p>
    <w:tbl>
      <w:tblPr>
        <w:tblStyle w:val="14"/>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5"/>
        <w:gridCol w:w="1069"/>
        <w:gridCol w:w="1069"/>
        <w:gridCol w:w="4363"/>
        <w:gridCol w:w="2011"/>
        <w:gridCol w:w="1078"/>
        <w:gridCol w:w="1073"/>
        <w:gridCol w:w="1072"/>
        <w:gridCol w:w="1072"/>
        <w:gridCol w:w="1073"/>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5428" w:type="dxa"/>
            <w:gridSpan w:val="11"/>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85" w:type="dxa"/>
            <w:shd w:val="clear" w:color="auto" w:fill="auto"/>
            <w:vAlign w:val="bottom"/>
          </w:tcPr>
          <w:p>
            <w:pPr>
              <w:rPr>
                <w:rFonts w:hint="eastAsia" w:ascii="Arial" w:hAnsi="Arial" w:cs="Arial"/>
                <w:i w:val="0"/>
                <w:color w:val="000000"/>
                <w:sz w:val="20"/>
                <w:szCs w:val="20"/>
                <w:u w:val="none"/>
              </w:rPr>
            </w:pPr>
          </w:p>
        </w:tc>
        <w:tc>
          <w:tcPr>
            <w:tcW w:w="1069" w:type="dxa"/>
            <w:shd w:val="clear" w:color="auto" w:fill="auto"/>
            <w:vAlign w:val="bottom"/>
          </w:tcPr>
          <w:p>
            <w:pPr>
              <w:rPr>
                <w:rFonts w:hint="default" w:ascii="Arial" w:hAnsi="Arial" w:cs="Arial"/>
                <w:i w:val="0"/>
                <w:color w:val="000000"/>
                <w:sz w:val="20"/>
                <w:szCs w:val="20"/>
                <w:u w:val="none"/>
              </w:rPr>
            </w:pPr>
          </w:p>
        </w:tc>
        <w:tc>
          <w:tcPr>
            <w:tcW w:w="1069" w:type="dxa"/>
            <w:shd w:val="clear" w:color="auto" w:fill="auto"/>
            <w:vAlign w:val="bottom"/>
          </w:tcPr>
          <w:p>
            <w:pPr>
              <w:rPr>
                <w:rFonts w:hint="default" w:ascii="Arial" w:hAnsi="Arial" w:cs="Arial"/>
                <w:i w:val="0"/>
                <w:color w:val="000000"/>
                <w:sz w:val="20"/>
                <w:szCs w:val="20"/>
                <w:u w:val="none"/>
              </w:rPr>
            </w:pPr>
          </w:p>
        </w:tc>
        <w:tc>
          <w:tcPr>
            <w:tcW w:w="4363" w:type="dxa"/>
            <w:shd w:val="clear" w:color="auto" w:fill="auto"/>
            <w:vAlign w:val="bottom"/>
          </w:tcPr>
          <w:p>
            <w:pPr>
              <w:rPr>
                <w:rFonts w:hint="default" w:ascii="Arial" w:hAnsi="Arial" w:cs="Arial"/>
                <w:i w:val="0"/>
                <w:color w:val="000000"/>
                <w:sz w:val="20"/>
                <w:szCs w:val="20"/>
                <w:u w:val="none"/>
              </w:rPr>
            </w:pPr>
          </w:p>
        </w:tc>
        <w:tc>
          <w:tcPr>
            <w:tcW w:w="2011" w:type="dxa"/>
            <w:shd w:val="clear" w:color="auto" w:fill="auto"/>
            <w:vAlign w:val="bottom"/>
          </w:tcPr>
          <w:p>
            <w:pPr>
              <w:rPr>
                <w:rFonts w:hint="default" w:ascii="Arial" w:hAnsi="Arial" w:cs="Arial"/>
                <w:i w:val="0"/>
                <w:color w:val="000000"/>
                <w:sz w:val="20"/>
                <w:szCs w:val="20"/>
                <w:u w:val="none"/>
              </w:rPr>
            </w:pPr>
          </w:p>
        </w:tc>
        <w:tc>
          <w:tcPr>
            <w:tcW w:w="1078" w:type="dxa"/>
            <w:shd w:val="clear" w:color="auto" w:fill="auto"/>
            <w:vAlign w:val="bottom"/>
          </w:tcPr>
          <w:p>
            <w:pPr>
              <w:rPr>
                <w:rFonts w:hint="default" w:ascii="Arial" w:hAnsi="Arial" w:cs="Arial"/>
                <w:i w:val="0"/>
                <w:color w:val="000000"/>
                <w:sz w:val="20"/>
                <w:szCs w:val="20"/>
                <w:u w:val="none"/>
              </w:rPr>
            </w:pPr>
          </w:p>
        </w:tc>
        <w:tc>
          <w:tcPr>
            <w:tcW w:w="1073" w:type="dxa"/>
            <w:shd w:val="clear" w:color="auto" w:fill="auto"/>
            <w:vAlign w:val="bottom"/>
          </w:tcPr>
          <w:p>
            <w:pPr>
              <w:rPr>
                <w:rFonts w:hint="default" w:ascii="Arial" w:hAnsi="Arial" w:cs="Arial"/>
                <w:i w:val="0"/>
                <w:color w:val="000000"/>
                <w:sz w:val="20"/>
                <w:szCs w:val="20"/>
                <w:u w:val="none"/>
              </w:rPr>
            </w:pPr>
          </w:p>
        </w:tc>
        <w:tc>
          <w:tcPr>
            <w:tcW w:w="1072" w:type="dxa"/>
            <w:shd w:val="clear" w:color="auto" w:fill="auto"/>
            <w:vAlign w:val="bottom"/>
          </w:tcPr>
          <w:p>
            <w:pPr>
              <w:rPr>
                <w:rFonts w:hint="default" w:ascii="Arial" w:hAnsi="Arial" w:cs="Arial"/>
                <w:i w:val="0"/>
                <w:color w:val="000000"/>
                <w:sz w:val="20"/>
                <w:szCs w:val="20"/>
                <w:u w:val="none"/>
              </w:rPr>
            </w:pPr>
          </w:p>
        </w:tc>
        <w:tc>
          <w:tcPr>
            <w:tcW w:w="1072" w:type="dxa"/>
            <w:shd w:val="clear" w:color="auto" w:fill="auto"/>
            <w:vAlign w:val="bottom"/>
          </w:tcPr>
          <w:p>
            <w:pPr>
              <w:rPr>
                <w:rFonts w:hint="default" w:ascii="Arial" w:hAnsi="Arial" w:cs="Arial"/>
                <w:i w:val="0"/>
                <w:color w:val="000000"/>
                <w:sz w:val="20"/>
                <w:szCs w:val="20"/>
                <w:u w:val="none"/>
              </w:rPr>
            </w:pPr>
          </w:p>
        </w:tc>
        <w:tc>
          <w:tcPr>
            <w:tcW w:w="1073" w:type="dxa"/>
            <w:shd w:val="clear" w:color="auto" w:fill="auto"/>
            <w:vAlign w:val="bottom"/>
          </w:tcPr>
          <w:p>
            <w:pPr>
              <w:rPr>
                <w:rFonts w:hint="default" w:ascii="Arial" w:hAnsi="Arial" w:cs="Arial"/>
                <w:i w:val="0"/>
                <w:color w:val="000000"/>
                <w:sz w:val="20"/>
                <w:szCs w:val="20"/>
                <w:u w:val="none"/>
              </w:rPr>
            </w:pPr>
          </w:p>
        </w:tc>
        <w:tc>
          <w:tcPr>
            <w:tcW w:w="1063"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986" w:type="dxa"/>
            <w:gridSpan w:val="4"/>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部门：广东省外国专家局</w:t>
            </w:r>
          </w:p>
        </w:tc>
        <w:tc>
          <w:tcPr>
            <w:tcW w:w="2011" w:type="dxa"/>
            <w:shd w:val="clear" w:color="auto" w:fill="auto"/>
            <w:vAlign w:val="bottom"/>
          </w:tcPr>
          <w:p>
            <w:pPr>
              <w:rPr>
                <w:rFonts w:hint="default" w:ascii="Arial" w:hAnsi="Arial" w:cs="Arial"/>
                <w:i w:val="0"/>
                <w:color w:val="000000"/>
                <w:sz w:val="20"/>
                <w:szCs w:val="20"/>
                <w:u w:val="none"/>
              </w:rPr>
            </w:pPr>
          </w:p>
        </w:tc>
        <w:tc>
          <w:tcPr>
            <w:tcW w:w="1078" w:type="dxa"/>
            <w:shd w:val="clear" w:color="auto" w:fill="auto"/>
            <w:vAlign w:val="bottom"/>
          </w:tcPr>
          <w:p>
            <w:pPr>
              <w:rPr>
                <w:rFonts w:hint="default" w:ascii="Arial" w:hAnsi="Arial" w:cs="Arial"/>
                <w:i w:val="0"/>
                <w:color w:val="000000"/>
                <w:sz w:val="20"/>
                <w:szCs w:val="20"/>
                <w:u w:val="none"/>
              </w:rPr>
            </w:pPr>
          </w:p>
        </w:tc>
        <w:tc>
          <w:tcPr>
            <w:tcW w:w="1073" w:type="dxa"/>
            <w:shd w:val="clear" w:color="auto" w:fill="auto"/>
            <w:vAlign w:val="bottom"/>
          </w:tcPr>
          <w:p>
            <w:pPr>
              <w:rPr>
                <w:rFonts w:hint="default" w:ascii="Arial" w:hAnsi="Arial" w:cs="Arial"/>
                <w:i w:val="0"/>
                <w:color w:val="000000"/>
                <w:sz w:val="20"/>
                <w:szCs w:val="20"/>
                <w:u w:val="none"/>
              </w:rPr>
            </w:pPr>
          </w:p>
        </w:tc>
        <w:tc>
          <w:tcPr>
            <w:tcW w:w="1072" w:type="dxa"/>
            <w:shd w:val="clear" w:color="auto" w:fill="auto"/>
            <w:vAlign w:val="bottom"/>
          </w:tcPr>
          <w:p>
            <w:pPr>
              <w:rPr>
                <w:rFonts w:hint="default" w:ascii="Arial" w:hAnsi="Arial" w:cs="Arial"/>
                <w:i w:val="0"/>
                <w:color w:val="000000"/>
                <w:sz w:val="20"/>
                <w:szCs w:val="20"/>
                <w:u w:val="none"/>
              </w:rPr>
            </w:pPr>
          </w:p>
        </w:tc>
        <w:tc>
          <w:tcPr>
            <w:tcW w:w="1072" w:type="dxa"/>
            <w:shd w:val="clear" w:color="auto" w:fill="auto"/>
            <w:vAlign w:val="bottom"/>
          </w:tcPr>
          <w:p>
            <w:pPr>
              <w:rPr>
                <w:rFonts w:hint="default" w:ascii="Arial" w:hAnsi="Arial" w:cs="Arial"/>
                <w:i w:val="0"/>
                <w:color w:val="000000"/>
                <w:sz w:val="20"/>
                <w:szCs w:val="20"/>
                <w:u w:val="none"/>
              </w:rPr>
            </w:pPr>
          </w:p>
        </w:tc>
        <w:tc>
          <w:tcPr>
            <w:tcW w:w="1073" w:type="dxa"/>
            <w:shd w:val="clear" w:color="auto" w:fill="auto"/>
            <w:vAlign w:val="bottom"/>
          </w:tcPr>
          <w:p>
            <w:pPr>
              <w:rPr>
                <w:rFonts w:hint="default" w:ascii="Arial" w:hAnsi="Arial" w:cs="Arial"/>
                <w:i w:val="0"/>
                <w:color w:val="000000"/>
                <w:sz w:val="20"/>
                <w:szCs w:val="20"/>
                <w:u w:val="none"/>
              </w:rPr>
            </w:pPr>
          </w:p>
        </w:tc>
        <w:tc>
          <w:tcPr>
            <w:tcW w:w="1063"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23" w:type="dxa"/>
            <w:gridSpan w:val="3"/>
            <w:vMerge w:val="restart"/>
            <w:tcBorders>
              <w:top w:val="single" w:color="000000" w:sz="12"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363" w:type="dxa"/>
            <w:vMerge w:val="restart"/>
            <w:tcBorders>
              <w:top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011" w:type="dxa"/>
            <w:vMerge w:val="restart"/>
            <w:tcBorders>
              <w:top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078" w:type="dxa"/>
            <w:vMerge w:val="restart"/>
            <w:tcBorders>
              <w:top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073" w:type="dxa"/>
            <w:vMerge w:val="restart"/>
            <w:tcBorders>
              <w:top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072" w:type="dxa"/>
            <w:vMerge w:val="restart"/>
            <w:tcBorders>
              <w:top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072" w:type="dxa"/>
            <w:vMerge w:val="restart"/>
            <w:tcBorders>
              <w:top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073" w:type="dxa"/>
            <w:vMerge w:val="restart"/>
            <w:tcBorders>
              <w:top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063" w:type="dxa"/>
            <w:vMerge w:val="restart"/>
            <w:tcBorders>
              <w:top w:val="single" w:color="000000" w:sz="12"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23" w:type="dxa"/>
            <w:gridSpan w:val="3"/>
            <w:vMerge w:val="continue"/>
            <w:tcBorders>
              <w:top w:val="single" w:color="000000" w:sz="12" w:space="0"/>
              <w:left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4363"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011"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78"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73"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72"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72"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73"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63" w:type="dxa"/>
            <w:vMerge w:val="continue"/>
            <w:tcBorders>
              <w:top w:val="single" w:color="000000" w:sz="12" w:space="0"/>
              <w:bottom w:val="single" w:color="000000" w:sz="4" w:space="0"/>
              <w:right w:val="single" w:color="000000" w:sz="12" w:space="0"/>
            </w:tcBorders>
            <w:shd w:val="clear" w:color="auto"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23" w:type="dxa"/>
            <w:gridSpan w:val="3"/>
            <w:vMerge w:val="continue"/>
            <w:tcBorders>
              <w:top w:val="single" w:color="000000" w:sz="12" w:space="0"/>
              <w:left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4363"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011"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78"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73"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72"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72"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73"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63" w:type="dxa"/>
            <w:vMerge w:val="continue"/>
            <w:tcBorders>
              <w:top w:val="single" w:color="000000" w:sz="12" w:space="0"/>
              <w:bottom w:val="single" w:color="000000" w:sz="4" w:space="0"/>
              <w:right w:val="single" w:color="000000" w:sz="12" w:space="0"/>
            </w:tcBorders>
            <w:shd w:val="clear" w:color="auto"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23" w:type="dxa"/>
            <w:gridSpan w:val="3"/>
            <w:vMerge w:val="continue"/>
            <w:tcBorders>
              <w:top w:val="single" w:color="000000" w:sz="12" w:space="0"/>
              <w:left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4363"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011"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78"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73"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72"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72"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73"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63" w:type="dxa"/>
            <w:vMerge w:val="continue"/>
            <w:tcBorders>
              <w:top w:val="single" w:color="000000" w:sz="12" w:space="0"/>
              <w:bottom w:val="single" w:color="000000" w:sz="4" w:space="0"/>
              <w:right w:val="single" w:color="000000" w:sz="12" w:space="0"/>
            </w:tcBorders>
            <w:shd w:val="clear" w:color="auto"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85" w:type="dxa"/>
            <w:vMerge w:val="restart"/>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1069" w:type="dxa"/>
            <w:vMerge w:val="restart"/>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1069" w:type="dxa"/>
            <w:vMerge w:val="restart"/>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4363"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01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8"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73"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7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73"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63" w:type="dxa"/>
            <w:tcBorders>
              <w:top w:val="single" w:color="000000" w:sz="4"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85" w:type="dxa"/>
            <w:vMerge w:val="continue"/>
            <w:tcBorders>
              <w:top w:val="single" w:color="000000" w:sz="4" w:space="0"/>
              <w:left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69"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69"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4363"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0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1,288.89</w:t>
            </w:r>
          </w:p>
        </w:tc>
        <w:tc>
          <w:tcPr>
            <w:tcW w:w="107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1,287.35</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2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36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0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951.95</w:t>
            </w:r>
          </w:p>
        </w:tc>
        <w:tc>
          <w:tcPr>
            <w:tcW w:w="107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950.41</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2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w:t>
            </w:r>
          </w:p>
        </w:tc>
        <w:tc>
          <w:tcPr>
            <w:tcW w:w="436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人力资源事务</w:t>
            </w:r>
          </w:p>
        </w:tc>
        <w:tc>
          <w:tcPr>
            <w:tcW w:w="20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951.95</w:t>
            </w:r>
          </w:p>
        </w:tc>
        <w:tc>
          <w:tcPr>
            <w:tcW w:w="107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950.41</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2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2011001</w:t>
            </w:r>
          </w:p>
        </w:tc>
        <w:tc>
          <w:tcPr>
            <w:tcW w:w="436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0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475.4</w:t>
            </w:r>
            <w:r>
              <w:rPr>
                <w:rFonts w:hint="eastAsia" w:ascii="宋体" w:hAnsi="宋体" w:cs="宋体"/>
                <w:i w:val="0"/>
                <w:color w:val="000000"/>
                <w:kern w:val="0"/>
                <w:sz w:val="22"/>
                <w:szCs w:val="22"/>
                <w:u w:val="none"/>
                <w:lang w:val="en-US" w:eastAsia="zh-CN" w:bidi="ar"/>
              </w:rPr>
              <w:t>2</w:t>
            </w:r>
          </w:p>
        </w:tc>
        <w:tc>
          <w:tcPr>
            <w:tcW w:w="107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475.41</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2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2011002</w:t>
            </w:r>
          </w:p>
        </w:tc>
        <w:tc>
          <w:tcPr>
            <w:tcW w:w="436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0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107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2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2011008</w:t>
            </w:r>
          </w:p>
        </w:tc>
        <w:tc>
          <w:tcPr>
            <w:tcW w:w="436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引进人才费用</w:t>
            </w:r>
          </w:p>
        </w:tc>
        <w:tc>
          <w:tcPr>
            <w:tcW w:w="20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475.00</w:t>
            </w:r>
          </w:p>
        </w:tc>
        <w:tc>
          <w:tcPr>
            <w:tcW w:w="107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475.00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2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2011099</w:t>
            </w:r>
          </w:p>
        </w:tc>
        <w:tc>
          <w:tcPr>
            <w:tcW w:w="436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其他人事事务支出</w:t>
            </w:r>
          </w:p>
        </w:tc>
        <w:tc>
          <w:tcPr>
            <w:tcW w:w="20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2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436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20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308.84</w:t>
            </w:r>
          </w:p>
        </w:tc>
        <w:tc>
          <w:tcPr>
            <w:tcW w:w="107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308.84</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2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20606</w:t>
            </w:r>
          </w:p>
        </w:tc>
        <w:tc>
          <w:tcPr>
            <w:tcW w:w="436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社会科学</w:t>
            </w:r>
          </w:p>
        </w:tc>
        <w:tc>
          <w:tcPr>
            <w:tcW w:w="20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283.84</w:t>
            </w:r>
          </w:p>
        </w:tc>
        <w:tc>
          <w:tcPr>
            <w:tcW w:w="107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283.84</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2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2060699</w:t>
            </w:r>
          </w:p>
        </w:tc>
        <w:tc>
          <w:tcPr>
            <w:tcW w:w="436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其他社会科学支出</w:t>
            </w:r>
          </w:p>
        </w:tc>
        <w:tc>
          <w:tcPr>
            <w:tcW w:w="20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283.84</w:t>
            </w:r>
          </w:p>
        </w:tc>
        <w:tc>
          <w:tcPr>
            <w:tcW w:w="107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283.84</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2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w:t>
            </w:r>
          </w:p>
        </w:tc>
        <w:tc>
          <w:tcPr>
            <w:tcW w:w="436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其他科学技术支出</w:t>
            </w:r>
          </w:p>
        </w:tc>
        <w:tc>
          <w:tcPr>
            <w:tcW w:w="20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07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2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2069999</w:t>
            </w:r>
          </w:p>
        </w:tc>
        <w:tc>
          <w:tcPr>
            <w:tcW w:w="436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20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07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2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36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0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w:t>
            </w:r>
          </w:p>
        </w:tc>
        <w:tc>
          <w:tcPr>
            <w:tcW w:w="107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2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36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20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w:t>
            </w:r>
          </w:p>
        </w:tc>
        <w:tc>
          <w:tcPr>
            <w:tcW w:w="107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2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436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201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w:t>
            </w:r>
          </w:p>
        </w:tc>
        <w:tc>
          <w:tcPr>
            <w:tcW w:w="107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23" w:type="dxa"/>
            <w:gridSpan w:val="3"/>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4363"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其他行政事业单位离退休支出</w:t>
            </w:r>
          </w:p>
        </w:tc>
        <w:tc>
          <w:tcPr>
            <w:tcW w:w="2011"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1078"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1073"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2"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73"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3" w:type="dxa"/>
            <w:tcBorders>
              <w:top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428" w:type="dxa"/>
            <w:gridSpan w:val="1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left"/>
        <w:textAlignment w:val="auto"/>
        <w:outlineLvl w:val="9"/>
        <w:rPr>
          <w:rFonts w:hint="default" w:ascii="仿宋_GB2312" w:hAnsi="Calibri" w:eastAsia="仿宋_GB2312" w:cs="Times New Roman"/>
          <w:color w:val="000000"/>
          <w:spacing w:val="-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tbl>
      <w:tblPr>
        <w:tblStyle w:val="14"/>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0"/>
        <w:gridCol w:w="1147"/>
        <w:gridCol w:w="1147"/>
        <w:gridCol w:w="4689"/>
        <w:gridCol w:w="2161"/>
        <w:gridCol w:w="1156"/>
        <w:gridCol w:w="1155"/>
        <w:gridCol w:w="1152"/>
        <w:gridCol w:w="1152"/>
        <w:gridCol w:w="1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5428" w:type="dxa"/>
            <w:gridSpan w:val="10"/>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0" w:type="dxa"/>
            <w:shd w:val="clear" w:color="auto" w:fill="auto"/>
            <w:vAlign w:val="bottom"/>
          </w:tcPr>
          <w:p>
            <w:pPr>
              <w:rPr>
                <w:rFonts w:hint="eastAsia" w:ascii="Arial" w:hAnsi="Arial" w:cs="Arial"/>
                <w:i w:val="0"/>
                <w:color w:val="000000"/>
                <w:sz w:val="20"/>
                <w:szCs w:val="20"/>
                <w:u w:val="none"/>
              </w:rPr>
            </w:pPr>
          </w:p>
        </w:tc>
        <w:tc>
          <w:tcPr>
            <w:tcW w:w="1147" w:type="dxa"/>
            <w:shd w:val="clear" w:color="auto" w:fill="auto"/>
            <w:vAlign w:val="bottom"/>
          </w:tcPr>
          <w:p>
            <w:pPr>
              <w:rPr>
                <w:rFonts w:hint="default" w:ascii="Arial" w:hAnsi="Arial" w:cs="Arial"/>
                <w:i w:val="0"/>
                <w:color w:val="000000"/>
                <w:sz w:val="20"/>
                <w:szCs w:val="20"/>
                <w:u w:val="none"/>
              </w:rPr>
            </w:pPr>
          </w:p>
        </w:tc>
        <w:tc>
          <w:tcPr>
            <w:tcW w:w="1147" w:type="dxa"/>
            <w:shd w:val="clear" w:color="auto" w:fill="auto"/>
            <w:vAlign w:val="bottom"/>
          </w:tcPr>
          <w:p>
            <w:pPr>
              <w:rPr>
                <w:rFonts w:hint="default" w:ascii="Arial" w:hAnsi="Arial" w:cs="Arial"/>
                <w:i w:val="0"/>
                <w:color w:val="000000"/>
                <w:sz w:val="20"/>
                <w:szCs w:val="20"/>
                <w:u w:val="none"/>
              </w:rPr>
            </w:pPr>
          </w:p>
        </w:tc>
        <w:tc>
          <w:tcPr>
            <w:tcW w:w="4689" w:type="dxa"/>
            <w:shd w:val="clear" w:color="auto" w:fill="auto"/>
            <w:vAlign w:val="bottom"/>
          </w:tcPr>
          <w:p>
            <w:pPr>
              <w:rPr>
                <w:rFonts w:hint="default" w:ascii="Arial" w:hAnsi="Arial" w:cs="Arial"/>
                <w:i w:val="0"/>
                <w:color w:val="000000"/>
                <w:sz w:val="20"/>
                <w:szCs w:val="20"/>
                <w:u w:val="none"/>
              </w:rPr>
            </w:pPr>
          </w:p>
        </w:tc>
        <w:tc>
          <w:tcPr>
            <w:tcW w:w="2161" w:type="dxa"/>
            <w:shd w:val="clear" w:color="auto" w:fill="auto"/>
            <w:vAlign w:val="bottom"/>
          </w:tcPr>
          <w:p>
            <w:pPr>
              <w:rPr>
                <w:rFonts w:hint="default" w:ascii="Arial" w:hAnsi="Arial" w:cs="Arial"/>
                <w:i w:val="0"/>
                <w:color w:val="000000"/>
                <w:sz w:val="20"/>
                <w:szCs w:val="20"/>
                <w:u w:val="none"/>
              </w:rPr>
            </w:pPr>
          </w:p>
        </w:tc>
        <w:tc>
          <w:tcPr>
            <w:tcW w:w="1156" w:type="dxa"/>
            <w:shd w:val="clear" w:color="auto" w:fill="auto"/>
            <w:vAlign w:val="bottom"/>
          </w:tcPr>
          <w:p>
            <w:pPr>
              <w:rPr>
                <w:rFonts w:hint="default" w:ascii="Arial" w:hAnsi="Arial" w:cs="Arial"/>
                <w:i w:val="0"/>
                <w:color w:val="000000"/>
                <w:sz w:val="20"/>
                <w:szCs w:val="20"/>
                <w:u w:val="none"/>
              </w:rPr>
            </w:pPr>
          </w:p>
        </w:tc>
        <w:tc>
          <w:tcPr>
            <w:tcW w:w="1155" w:type="dxa"/>
            <w:shd w:val="clear" w:color="auto" w:fill="auto"/>
            <w:vAlign w:val="bottom"/>
          </w:tcPr>
          <w:p>
            <w:pPr>
              <w:rPr>
                <w:rFonts w:hint="default" w:ascii="Arial" w:hAnsi="Arial" w:cs="Arial"/>
                <w:i w:val="0"/>
                <w:color w:val="000000"/>
                <w:sz w:val="20"/>
                <w:szCs w:val="20"/>
                <w:u w:val="none"/>
              </w:rPr>
            </w:pPr>
          </w:p>
        </w:tc>
        <w:tc>
          <w:tcPr>
            <w:tcW w:w="1152" w:type="dxa"/>
            <w:shd w:val="clear" w:color="auto" w:fill="auto"/>
            <w:vAlign w:val="bottom"/>
          </w:tcPr>
          <w:p>
            <w:pPr>
              <w:rPr>
                <w:rFonts w:hint="default" w:ascii="Arial" w:hAnsi="Arial" w:cs="Arial"/>
                <w:i w:val="0"/>
                <w:color w:val="000000"/>
                <w:sz w:val="20"/>
                <w:szCs w:val="20"/>
                <w:u w:val="none"/>
              </w:rPr>
            </w:pPr>
          </w:p>
        </w:tc>
        <w:tc>
          <w:tcPr>
            <w:tcW w:w="1152" w:type="dxa"/>
            <w:shd w:val="clear" w:color="auto" w:fill="auto"/>
            <w:vAlign w:val="bottom"/>
          </w:tcPr>
          <w:p>
            <w:pPr>
              <w:rPr>
                <w:rFonts w:hint="default" w:ascii="Arial" w:hAnsi="Arial" w:cs="Arial"/>
                <w:i w:val="0"/>
                <w:color w:val="000000"/>
                <w:sz w:val="20"/>
                <w:szCs w:val="20"/>
                <w:u w:val="none"/>
              </w:rPr>
            </w:pPr>
          </w:p>
        </w:tc>
        <w:tc>
          <w:tcPr>
            <w:tcW w:w="1149"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503" w:type="dxa"/>
            <w:gridSpan w:val="4"/>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部门：广东省外国专家局</w:t>
            </w:r>
          </w:p>
        </w:tc>
        <w:tc>
          <w:tcPr>
            <w:tcW w:w="2161" w:type="dxa"/>
            <w:shd w:val="clear" w:color="auto" w:fill="auto"/>
            <w:vAlign w:val="bottom"/>
          </w:tcPr>
          <w:p>
            <w:pPr>
              <w:rPr>
                <w:rFonts w:hint="default" w:ascii="Arial" w:hAnsi="Arial" w:cs="Arial"/>
                <w:i w:val="0"/>
                <w:color w:val="000000"/>
                <w:sz w:val="20"/>
                <w:szCs w:val="20"/>
                <w:u w:val="none"/>
              </w:rPr>
            </w:pPr>
          </w:p>
        </w:tc>
        <w:tc>
          <w:tcPr>
            <w:tcW w:w="1156" w:type="dxa"/>
            <w:shd w:val="clear" w:color="auto" w:fill="auto"/>
            <w:vAlign w:val="bottom"/>
          </w:tcPr>
          <w:p>
            <w:pPr>
              <w:rPr>
                <w:rFonts w:hint="default" w:ascii="Arial" w:hAnsi="Arial" w:cs="Arial"/>
                <w:i w:val="0"/>
                <w:color w:val="000000"/>
                <w:sz w:val="20"/>
                <w:szCs w:val="20"/>
                <w:u w:val="none"/>
              </w:rPr>
            </w:pPr>
          </w:p>
        </w:tc>
        <w:tc>
          <w:tcPr>
            <w:tcW w:w="1155" w:type="dxa"/>
            <w:shd w:val="clear" w:color="auto" w:fill="auto"/>
            <w:vAlign w:val="bottom"/>
          </w:tcPr>
          <w:p>
            <w:pPr>
              <w:rPr>
                <w:rFonts w:hint="default" w:ascii="Arial" w:hAnsi="Arial" w:cs="Arial"/>
                <w:i w:val="0"/>
                <w:color w:val="000000"/>
                <w:sz w:val="20"/>
                <w:szCs w:val="20"/>
                <w:u w:val="none"/>
              </w:rPr>
            </w:pPr>
          </w:p>
        </w:tc>
        <w:tc>
          <w:tcPr>
            <w:tcW w:w="1152" w:type="dxa"/>
            <w:shd w:val="clear" w:color="auto" w:fill="auto"/>
            <w:vAlign w:val="bottom"/>
          </w:tcPr>
          <w:p>
            <w:pPr>
              <w:rPr>
                <w:rFonts w:hint="default" w:ascii="Arial" w:hAnsi="Arial" w:cs="Arial"/>
                <w:i w:val="0"/>
                <w:color w:val="000000"/>
                <w:sz w:val="20"/>
                <w:szCs w:val="20"/>
                <w:u w:val="none"/>
              </w:rPr>
            </w:pPr>
          </w:p>
        </w:tc>
        <w:tc>
          <w:tcPr>
            <w:tcW w:w="1152" w:type="dxa"/>
            <w:shd w:val="clear" w:color="auto" w:fill="auto"/>
            <w:vAlign w:val="bottom"/>
          </w:tcPr>
          <w:p>
            <w:pPr>
              <w:rPr>
                <w:rFonts w:hint="default" w:ascii="Arial" w:hAnsi="Arial" w:cs="Arial"/>
                <w:i w:val="0"/>
                <w:color w:val="000000"/>
                <w:sz w:val="20"/>
                <w:szCs w:val="20"/>
                <w:u w:val="none"/>
              </w:rPr>
            </w:pPr>
          </w:p>
        </w:tc>
        <w:tc>
          <w:tcPr>
            <w:tcW w:w="1149"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14" w:type="dxa"/>
            <w:gridSpan w:val="3"/>
            <w:vMerge w:val="restart"/>
            <w:tcBorders>
              <w:top w:val="single" w:color="000000" w:sz="12"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689" w:type="dxa"/>
            <w:vMerge w:val="restart"/>
            <w:tcBorders>
              <w:top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161" w:type="dxa"/>
            <w:vMerge w:val="restart"/>
            <w:tcBorders>
              <w:top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56" w:type="dxa"/>
            <w:vMerge w:val="restart"/>
            <w:tcBorders>
              <w:top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55" w:type="dxa"/>
            <w:vMerge w:val="restart"/>
            <w:tcBorders>
              <w:top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52" w:type="dxa"/>
            <w:vMerge w:val="restart"/>
            <w:tcBorders>
              <w:top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152" w:type="dxa"/>
            <w:vMerge w:val="restart"/>
            <w:tcBorders>
              <w:top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149" w:type="dxa"/>
            <w:vMerge w:val="restart"/>
            <w:tcBorders>
              <w:top w:val="single" w:color="000000" w:sz="12"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14" w:type="dxa"/>
            <w:gridSpan w:val="3"/>
            <w:vMerge w:val="continue"/>
            <w:tcBorders>
              <w:top w:val="single" w:color="000000" w:sz="12" w:space="0"/>
              <w:left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4689"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161"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56"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55"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52"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52"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49" w:type="dxa"/>
            <w:vMerge w:val="continue"/>
            <w:tcBorders>
              <w:top w:val="single" w:color="000000" w:sz="12" w:space="0"/>
              <w:bottom w:val="single" w:color="000000" w:sz="4" w:space="0"/>
              <w:right w:val="single" w:color="000000" w:sz="12" w:space="0"/>
            </w:tcBorders>
            <w:shd w:val="clear" w:color="auto"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14" w:type="dxa"/>
            <w:gridSpan w:val="3"/>
            <w:vMerge w:val="continue"/>
            <w:tcBorders>
              <w:top w:val="single" w:color="000000" w:sz="12" w:space="0"/>
              <w:left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4689"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161"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56"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55"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52"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52"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49" w:type="dxa"/>
            <w:vMerge w:val="continue"/>
            <w:tcBorders>
              <w:top w:val="single" w:color="000000" w:sz="12" w:space="0"/>
              <w:bottom w:val="single" w:color="000000" w:sz="4" w:space="0"/>
              <w:right w:val="single" w:color="000000" w:sz="12" w:space="0"/>
            </w:tcBorders>
            <w:shd w:val="clear" w:color="auto"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14" w:type="dxa"/>
            <w:gridSpan w:val="3"/>
            <w:vMerge w:val="continue"/>
            <w:tcBorders>
              <w:top w:val="single" w:color="000000" w:sz="12" w:space="0"/>
              <w:left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4689"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161"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56"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55"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52"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52"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49" w:type="dxa"/>
            <w:vMerge w:val="continue"/>
            <w:tcBorders>
              <w:top w:val="single" w:color="000000" w:sz="12" w:space="0"/>
              <w:bottom w:val="single" w:color="000000" w:sz="4" w:space="0"/>
              <w:right w:val="single" w:color="000000" w:sz="12" w:space="0"/>
            </w:tcBorders>
            <w:shd w:val="clear" w:color="auto"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20" w:type="dxa"/>
            <w:vMerge w:val="restart"/>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1147" w:type="dxa"/>
            <w:vMerge w:val="restart"/>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1147" w:type="dxa"/>
            <w:vMerge w:val="restart"/>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4689"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16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5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55"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5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5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49" w:type="dxa"/>
            <w:tcBorders>
              <w:top w:val="single" w:color="000000" w:sz="4"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20" w:type="dxa"/>
            <w:vMerge w:val="continue"/>
            <w:tcBorders>
              <w:top w:val="single" w:color="000000" w:sz="4" w:space="0"/>
              <w:left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47"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47"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4689"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6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1,213.50</w:t>
            </w:r>
          </w:p>
        </w:tc>
        <w:tc>
          <w:tcPr>
            <w:tcW w:w="11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441.48</w:t>
            </w:r>
          </w:p>
        </w:tc>
        <w:tc>
          <w:tcPr>
            <w:tcW w:w="11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772.02</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9"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14"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16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1,184.66</w:t>
            </w:r>
          </w:p>
        </w:tc>
        <w:tc>
          <w:tcPr>
            <w:tcW w:w="11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415.38</w:t>
            </w:r>
          </w:p>
        </w:tc>
        <w:tc>
          <w:tcPr>
            <w:tcW w:w="11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769.28</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9"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14"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w:t>
            </w:r>
          </w:p>
        </w:tc>
        <w:tc>
          <w:tcPr>
            <w:tcW w:w="4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人力资源事务</w:t>
            </w:r>
          </w:p>
        </w:tc>
        <w:tc>
          <w:tcPr>
            <w:tcW w:w="216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1,184.66</w:t>
            </w:r>
          </w:p>
        </w:tc>
        <w:tc>
          <w:tcPr>
            <w:tcW w:w="11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415.38</w:t>
            </w:r>
          </w:p>
        </w:tc>
        <w:tc>
          <w:tcPr>
            <w:tcW w:w="11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769.28</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9"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14"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2011001</w:t>
            </w:r>
          </w:p>
        </w:tc>
        <w:tc>
          <w:tcPr>
            <w:tcW w:w="4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16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415.34</w:t>
            </w:r>
          </w:p>
        </w:tc>
        <w:tc>
          <w:tcPr>
            <w:tcW w:w="11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415.34</w:t>
            </w:r>
          </w:p>
        </w:tc>
        <w:tc>
          <w:tcPr>
            <w:tcW w:w="11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9"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14"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2011002</w:t>
            </w:r>
          </w:p>
        </w:tc>
        <w:tc>
          <w:tcPr>
            <w:tcW w:w="4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16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224.23</w:t>
            </w:r>
          </w:p>
        </w:tc>
        <w:tc>
          <w:tcPr>
            <w:tcW w:w="11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0.04</w:t>
            </w:r>
          </w:p>
        </w:tc>
        <w:tc>
          <w:tcPr>
            <w:tcW w:w="11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224.18</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9"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14"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2011008</w:t>
            </w:r>
          </w:p>
        </w:tc>
        <w:tc>
          <w:tcPr>
            <w:tcW w:w="4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引进人才费用</w:t>
            </w:r>
          </w:p>
        </w:tc>
        <w:tc>
          <w:tcPr>
            <w:tcW w:w="216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545.09</w:t>
            </w:r>
          </w:p>
        </w:tc>
        <w:tc>
          <w:tcPr>
            <w:tcW w:w="11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545.09</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9"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14"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16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26.10</w:t>
            </w:r>
          </w:p>
        </w:tc>
        <w:tc>
          <w:tcPr>
            <w:tcW w:w="11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26.10</w:t>
            </w:r>
          </w:p>
        </w:tc>
        <w:tc>
          <w:tcPr>
            <w:tcW w:w="11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9"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14"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216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26.10</w:t>
            </w:r>
          </w:p>
        </w:tc>
        <w:tc>
          <w:tcPr>
            <w:tcW w:w="11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26.10</w:t>
            </w:r>
          </w:p>
        </w:tc>
        <w:tc>
          <w:tcPr>
            <w:tcW w:w="11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9"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14"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4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216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w:t>
            </w:r>
          </w:p>
        </w:tc>
        <w:tc>
          <w:tcPr>
            <w:tcW w:w="11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w:t>
            </w:r>
          </w:p>
        </w:tc>
        <w:tc>
          <w:tcPr>
            <w:tcW w:w="11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9"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14"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4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其他行政事业单位离退休支出</w:t>
            </w:r>
          </w:p>
        </w:tc>
        <w:tc>
          <w:tcPr>
            <w:tcW w:w="216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11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11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9"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14"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4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16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11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9"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14"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468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16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11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9"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14" w:type="dxa"/>
            <w:gridSpan w:val="3"/>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2299901</w:t>
            </w:r>
          </w:p>
        </w:tc>
        <w:tc>
          <w:tcPr>
            <w:tcW w:w="4689"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161"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1156"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1152"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2"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9" w:type="dxa"/>
            <w:tcBorders>
              <w:top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428"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tbl>
      <w:tblPr>
        <w:tblStyle w:val="14"/>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47"/>
        <w:gridCol w:w="546"/>
        <w:gridCol w:w="3015"/>
        <w:gridCol w:w="2846"/>
        <w:gridCol w:w="547"/>
        <w:gridCol w:w="1675"/>
        <w:gridCol w:w="1106"/>
        <w:gridCol w:w="2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5428" w:type="dxa"/>
            <w:gridSpan w:val="8"/>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47" w:type="dxa"/>
            <w:shd w:val="clear" w:color="auto" w:fill="auto"/>
            <w:vAlign w:val="bottom"/>
          </w:tcPr>
          <w:p>
            <w:pPr>
              <w:rPr>
                <w:rFonts w:hint="eastAsia" w:ascii="Arial" w:hAnsi="Arial" w:cs="Arial"/>
                <w:i w:val="0"/>
                <w:color w:val="000000"/>
                <w:sz w:val="20"/>
                <w:szCs w:val="20"/>
                <w:u w:val="none"/>
              </w:rPr>
            </w:pPr>
          </w:p>
        </w:tc>
        <w:tc>
          <w:tcPr>
            <w:tcW w:w="546" w:type="dxa"/>
            <w:shd w:val="clear" w:color="auto" w:fill="auto"/>
            <w:vAlign w:val="bottom"/>
          </w:tcPr>
          <w:p>
            <w:pPr>
              <w:rPr>
                <w:rFonts w:hint="default" w:ascii="Arial" w:hAnsi="Arial" w:cs="Arial"/>
                <w:i w:val="0"/>
                <w:color w:val="000000"/>
                <w:sz w:val="20"/>
                <w:szCs w:val="20"/>
                <w:u w:val="none"/>
              </w:rPr>
            </w:pPr>
          </w:p>
        </w:tc>
        <w:tc>
          <w:tcPr>
            <w:tcW w:w="3015" w:type="dxa"/>
            <w:shd w:val="clear" w:color="auto" w:fill="auto"/>
            <w:vAlign w:val="bottom"/>
          </w:tcPr>
          <w:p>
            <w:pPr>
              <w:rPr>
                <w:rFonts w:hint="default" w:ascii="Arial" w:hAnsi="Arial" w:cs="Arial"/>
                <w:i w:val="0"/>
                <w:color w:val="000000"/>
                <w:sz w:val="20"/>
                <w:szCs w:val="20"/>
                <w:u w:val="none"/>
              </w:rPr>
            </w:pPr>
          </w:p>
        </w:tc>
        <w:tc>
          <w:tcPr>
            <w:tcW w:w="2846" w:type="dxa"/>
            <w:shd w:val="clear" w:color="auto" w:fill="auto"/>
            <w:vAlign w:val="bottom"/>
          </w:tcPr>
          <w:p>
            <w:pPr>
              <w:rPr>
                <w:rFonts w:hint="default" w:ascii="Arial" w:hAnsi="Arial" w:cs="Arial"/>
                <w:i w:val="0"/>
                <w:color w:val="000000"/>
                <w:sz w:val="20"/>
                <w:szCs w:val="20"/>
                <w:u w:val="none"/>
              </w:rPr>
            </w:pPr>
          </w:p>
        </w:tc>
        <w:tc>
          <w:tcPr>
            <w:tcW w:w="547" w:type="dxa"/>
            <w:shd w:val="clear" w:color="auto" w:fill="auto"/>
            <w:vAlign w:val="bottom"/>
          </w:tcPr>
          <w:p>
            <w:pPr>
              <w:rPr>
                <w:rFonts w:hint="default" w:ascii="Arial" w:hAnsi="Arial" w:cs="Arial"/>
                <w:i w:val="0"/>
                <w:color w:val="000000"/>
                <w:sz w:val="20"/>
                <w:szCs w:val="20"/>
                <w:u w:val="none"/>
              </w:rPr>
            </w:pPr>
          </w:p>
        </w:tc>
        <w:tc>
          <w:tcPr>
            <w:tcW w:w="1675" w:type="dxa"/>
            <w:shd w:val="clear" w:color="auto" w:fill="auto"/>
            <w:vAlign w:val="bottom"/>
          </w:tcPr>
          <w:p>
            <w:pPr>
              <w:rPr>
                <w:rFonts w:hint="default" w:ascii="Arial" w:hAnsi="Arial" w:cs="Arial"/>
                <w:i w:val="0"/>
                <w:color w:val="000000"/>
                <w:sz w:val="20"/>
                <w:szCs w:val="20"/>
                <w:u w:val="none"/>
              </w:rPr>
            </w:pPr>
          </w:p>
        </w:tc>
        <w:tc>
          <w:tcPr>
            <w:tcW w:w="1106" w:type="dxa"/>
            <w:shd w:val="clear" w:color="auto" w:fill="auto"/>
            <w:vAlign w:val="bottom"/>
          </w:tcPr>
          <w:p>
            <w:pPr>
              <w:rPr>
                <w:rFonts w:hint="default" w:ascii="Arial" w:hAnsi="Arial" w:cs="Arial"/>
                <w:i w:val="0"/>
                <w:color w:val="000000"/>
                <w:sz w:val="20"/>
                <w:szCs w:val="20"/>
                <w:u w:val="none"/>
              </w:rPr>
            </w:pPr>
          </w:p>
        </w:tc>
        <w:tc>
          <w:tcPr>
            <w:tcW w:w="284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847"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部门：广东省外国专家局</w:t>
            </w:r>
          </w:p>
        </w:tc>
        <w:tc>
          <w:tcPr>
            <w:tcW w:w="546" w:type="dxa"/>
            <w:shd w:val="clear" w:color="auto" w:fill="auto"/>
            <w:vAlign w:val="bottom"/>
          </w:tcPr>
          <w:p>
            <w:pPr>
              <w:rPr>
                <w:rFonts w:hint="default" w:ascii="Arial" w:hAnsi="Arial" w:cs="Arial"/>
                <w:i w:val="0"/>
                <w:color w:val="000000"/>
                <w:sz w:val="20"/>
                <w:szCs w:val="20"/>
                <w:u w:val="none"/>
              </w:rPr>
            </w:pPr>
          </w:p>
        </w:tc>
        <w:tc>
          <w:tcPr>
            <w:tcW w:w="3015" w:type="dxa"/>
            <w:shd w:val="clear" w:color="auto" w:fill="auto"/>
            <w:vAlign w:val="bottom"/>
          </w:tcPr>
          <w:p>
            <w:pPr>
              <w:rPr>
                <w:rFonts w:hint="default" w:ascii="Arial" w:hAnsi="Arial" w:cs="Arial"/>
                <w:i w:val="0"/>
                <w:color w:val="000000"/>
                <w:sz w:val="20"/>
                <w:szCs w:val="20"/>
                <w:u w:val="none"/>
              </w:rPr>
            </w:pPr>
          </w:p>
        </w:tc>
        <w:tc>
          <w:tcPr>
            <w:tcW w:w="2846" w:type="dxa"/>
            <w:shd w:val="clear" w:color="auto" w:fill="auto"/>
            <w:vAlign w:val="bottom"/>
          </w:tcPr>
          <w:p>
            <w:pPr>
              <w:rPr>
                <w:rFonts w:hint="default" w:ascii="Arial" w:hAnsi="Arial" w:cs="Arial"/>
                <w:i w:val="0"/>
                <w:color w:val="000000"/>
                <w:sz w:val="20"/>
                <w:szCs w:val="20"/>
                <w:u w:val="none"/>
              </w:rPr>
            </w:pPr>
          </w:p>
        </w:tc>
        <w:tc>
          <w:tcPr>
            <w:tcW w:w="547" w:type="dxa"/>
            <w:shd w:val="clear" w:color="auto" w:fill="auto"/>
            <w:vAlign w:val="bottom"/>
          </w:tcPr>
          <w:p>
            <w:pPr>
              <w:rPr>
                <w:rFonts w:hint="default" w:ascii="Arial" w:hAnsi="Arial" w:cs="Arial"/>
                <w:i w:val="0"/>
                <w:color w:val="000000"/>
                <w:sz w:val="20"/>
                <w:szCs w:val="20"/>
                <w:u w:val="none"/>
              </w:rPr>
            </w:pPr>
          </w:p>
        </w:tc>
        <w:tc>
          <w:tcPr>
            <w:tcW w:w="1675" w:type="dxa"/>
            <w:shd w:val="clear" w:color="auto" w:fill="auto"/>
            <w:vAlign w:val="bottom"/>
          </w:tcPr>
          <w:p>
            <w:pPr>
              <w:rPr>
                <w:rFonts w:hint="default" w:ascii="Arial" w:hAnsi="Arial" w:cs="Arial"/>
                <w:i w:val="0"/>
                <w:color w:val="000000"/>
                <w:sz w:val="20"/>
                <w:szCs w:val="20"/>
                <w:u w:val="none"/>
              </w:rPr>
            </w:pPr>
          </w:p>
        </w:tc>
        <w:tc>
          <w:tcPr>
            <w:tcW w:w="1106" w:type="dxa"/>
            <w:shd w:val="clear" w:color="auto" w:fill="auto"/>
            <w:vAlign w:val="bottom"/>
          </w:tcPr>
          <w:p>
            <w:pPr>
              <w:rPr>
                <w:rFonts w:hint="default" w:ascii="Arial" w:hAnsi="Arial" w:cs="Arial"/>
                <w:i w:val="0"/>
                <w:color w:val="000000"/>
                <w:sz w:val="20"/>
                <w:szCs w:val="20"/>
                <w:u w:val="none"/>
              </w:rPr>
            </w:pPr>
          </w:p>
        </w:tc>
        <w:tc>
          <w:tcPr>
            <w:tcW w:w="284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408" w:type="dxa"/>
            <w:gridSpan w:val="3"/>
            <w:tcBorders>
              <w:top w:val="single" w:color="000000" w:sz="12"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9020" w:type="dxa"/>
            <w:gridSpan w:val="5"/>
            <w:tcBorders>
              <w:top w:val="single" w:color="000000" w:sz="12"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47" w:type="dxa"/>
            <w:vMerge w:val="restart"/>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46" w:type="dxa"/>
            <w:vMerge w:val="restart"/>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3015" w:type="dxa"/>
            <w:vMerge w:val="restart"/>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846" w:type="dxa"/>
            <w:vMerge w:val="restart"/>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47" w:type="dxa"/>
            <w:vMerge w:val="restart"/>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675" w:type="dxa"/>
            <w:vMerge w:val="restart"/>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06" w:type="dxa"/>
            <w:vMerge w:val="restart"/>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2846" w:type="dxa"/>
            <w:vMerge w:val="restart"/>
            <w:tcBorders>
              <w:top w:val="single" w:color="000000" w:sz="4"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2847" w:type="dxa"/>
            <w:vMerge w:val="continue"/>
            <w:tcBorders>
              <w:top w:val="single" w:color="000000" w:sz="4" w:space="0"/>
              <w:left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546"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3015"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846"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547"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675"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06"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846" w:type="dxa"/>
            <w:vMerge w:val="continue"/>
            <w:tcBorders>
              <w:top w:val="single" w:color="000000" w:sz="4" w:space="0"/>
              <w:bottom w:val="single" w:color="000000" w:sz="4" w:space="0"/>
              <w:right w:val="single" w:color="000000" w:sz="12" w:space="0"/>
            </w:tcBorders>
            <w:shd w:val="clear" w:color="auto"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46" w:type="dxa"/>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3015"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47" w:type="dxa"/>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675"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0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846" w:type="dxa"/>
            <w:tcBorders>
              <w:top w:val="single" w:color="000000" w:sz="4"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0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1,287.35</w:t>
            </w: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960.43</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960.43</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0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0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0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0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0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0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0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26.10</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26.10</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0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0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0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0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0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0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0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0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0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0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十八、国土海洋气象等支出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0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0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0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1,287.35</w:t>
            </w: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989.27</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989.27</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0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141.47</w:t>
            </w:r>
          </w:p>
        </w:tc>
        <w:tc>
          <w:tcPr>
            <w:tcW w:w="28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6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439.54</w:t>
            </w:r>
          </w:p>
        </w:tc>
        <w:tc>
          <w:tcPr>
            <w:tcW w:w="110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439.54</w:t>
            </w:r>
          </w:p>
        </w:tc>
        <w:tc>
          <w:tcPr>
            <w:tcW w:w="284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0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141.47</w:t>
            </w:r>
          </w:p>
        </w:tc>
        <w:tc>
          <w:tcPr>
            <w:tcW w:w="2846" w:type="dxa"/>
            <w:tcBorders>
              <w:top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06"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0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46" w:type="dxa"/>
            <w:tcBorders>
              <w:top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06"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0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2"/>
                <w:szCs w:val="22"/>
                <w:u w:val="none"/>
              </w:rPr>
            </w:pPr>
          </w:p>
        </w:tc>
        <w:tc>
          <w:tcPr>
            <w:tcW w:w="547"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06"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46" w:type="dxa"/>
            <w:tcBorders>
              <w:top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47" w:type="dxa"/>
            <w:tcBorders>
              <w:top w:val="single" w:color="000000" w:sz="4" w:space="0"/>
              <w:left w:val="single" w:color="000000" w:sz="12" w:space="0"/>
              <w:bottom w:val="single" w:color="000000" w:sz="12"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46" w:type="dxa"/>
            <w:tcBorders>
              <w:top w:val="single" w:color="000000" w:sz="4" w:space="0"/>
              <w:bottom w:val="single" w:color="000000" w:sz="12"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015"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1,428.82</w:t>
            </w:r>
          </w:p>
        </w:tc>
        <w:tc>
          <w:tcPr>
            <w:tcW w:w="2846" w:type="dxa"/>
            <w:tcBorders>
              <w:top w:val="single" w:color="000000" w:sz="4" w:space="0"/>
              <w:bottom w:val="single" w:color="000000" w:sz="12"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47" w:type="dxa"/>
            <w:tcBorders>
              <w:top w:val="single" w:color="000000" w:sz="4" w:space="0"/>
              <w:bottom w:val="single" w:color="000000" w:sz="12"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675"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1,428.82</w:t>
            </w:r>
          </w:p>
        </w:tc>
        <w:tc>
          <w:tcPr>
            <w:tcW w:w="1106"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1,428.82</w:t>
            </w:r>
          </w:p>
        </w:tc>
        <w:tc>
          <w:tcPr>
            <w:tcW w:w="2846" w:type="dxa"/>
            <w:tcBorders>
              <w:top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428"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注：本表反映部门本年度一般公共预算拨款和政府性基金预算财政拨款的总收支和年末结转结余情况。</w:t>
            </w:r>
          </w:p>
        </w:tc>
      </w:tr>
    </w:tbl>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tbl>
      <w:tblPr>
        <w:tblStyle w:val="14"/>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4"/>
        <w:gridCol w:w="1413"/>
        <w:gridCol w:w="1412"/>
        <w:gridCol w:w="5584"/>
        <w:gridCol w:w="3510"/>
        <w:gridCol w:w="1412"/>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5428" w:type="dxa"/>
            <w:gridSpan w:val="7"/>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4" w:type="dxa"/>
            <w:shd w:val="clear" w:color="auto" w:fill="auto"/>
            <w:vAlign w:val="bottom"/>
          </w:tcPr>
          <w:p>
            <w:pPr>
              <w:rPr>
                <w:rFonts w:hint="eastAsia" w:ascii="Arial" w:hAnsi="Arial" w:cs="Arial"/>
                <w:i w:val="0"/>
                <w:color w:val="000000"/>
                <w:sz w:val="20"/>
                <w:szCs w:val="20"/>
                <w:u w:val="none"/>
              </w:rPr>
            </w:pPr>
          </w:p>
        </w:tc>
        <w:tc>
          <w:tcPr>
            <w:tcW w:w="1413" w:type="dxa"/>
            <w:shd w:val="clear" w:color="auto" w:fill="auto"/>
            <w:vAlign w:val="bottom"/>
          </w:tcPr>
          <w:p>
            <w:pPr>
              <w:rPr>
                <w:rFonts w:hint="default" w:ascii="Arial" w:hAnsi="Arial" w:cs="Arial"/>
                <w:i w:val="0"/>
                <w:color w:val="000000"/>
                <w:sz w:val="20"/>
                <w:szCs w:val="20"/>
                <w:u w:val="none"/>
              </w:rPr>
            </w:pPr>
          </w:p>
        </w:tc>
        <w:tc>
          <w:tcPr>
            <w:tcW w:w="1412" w:type="dxa"/>
            <w:shd w:val="clear" w:color="auto" w:fill="auto"/>
            <w:vAlign w:val="bottom"/>
          </w:tcPr>
          <w:p>
            <w:pPr>
              <w:rPr>
                <w:rFonts w:hint="default" w:ascii="Arial" w:hAnsi="Arial" w:cs="Arial"/>
                <w:i w:val="0"/>
                <w:color w:val="000000"/>
                <w:sz w:val="20"/>
                <w:szCs w:val="20"/>
                <w:u w:val="none"/>
              </w:rPr>
            </w:pPr>
          </w:p>
        </w:tc>
        <w:tc>
          <w:tcPr>
            <w:tcW w:w="5584" w:type="dxa"/>
            <w:shd w:val="clear" w:color="auto" w:fill="auto"/>
            <w:vAlign w:val="bottom"/>
          </w:tcPr>
          <w:p>
            <w:pPr>
              <w:rPr>
                <w:rFonts w:hint="default" w:ascii="Arial" w:hAnsi="Arial" w:cs="Arial"/>
                <w:i w:val="0"/>
                <w:color w:val="000000"/>
                <w:sz w:val="20"/>
                <w:szCs w:val="20"/>
                <w:u w:val="none"/>
              </w:rPr>
            </w:pPr>
          </w:p>
        </w:tc>
        <w:tc>
          <w:tcPr>
            <w:tcW w:w="3510" w:type="dxa"/>
            <w:shd w:val="clear" w:color="auto" w:fill="auto"/>
            <w:vAlign w:val="bottom"/>
          </w:tcPr>
          <w:p>
            <w:pPr>
              <w:rPr>
                <w:rFonts w:hint="default" w:ascii="Arial" w:hAnsi="Arial" w:cs="Arial"/>
                <w:i w:val="0"/>
                <w:color w:val="000000"/>
                <w:sz w:val="20"/>
                <w:szCs w:val="20"/>
                <w:u w:val="none"/>
              </w:rPr>
            </w:pPr>
          </w:p>
        </w:tc>
        <w:tc>
          <w:tcPr>
            <w:tcW w:w="1412" w:type="dxa"/>
            <w:shd w:val="clear" w:color="auto" w:fill="auto"/>
            <w:vAlign w:val="bottom"/>
          </w:tcPr>
          <w:p>
            <w:pPr>
              <w:rPr>
                <w:rFonts w:hint="default" w:ascii="Arial" w:hAnsi="Arial" w:cs="Arial"/>
                <w:i w:val="0"/>
                <w:color w:val="000000"/>
                <w:sz w:val="20"/>
                <w:szCs w:val="20"/>
                <w:u w:val="none"/>
              </w:rPr>
            </w:pPr>
          </w:p>
        </w:tc>
        <w:tc>
          <w:tcPr>
            <w:tcW w:w="1413"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9093" w:type="dxa"/>
            <w:gridSpan w:val="4"/>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部门：广东省外国专家局</w:t>
            </w:r>
          </w:p>
        </w:tc>
        <w:tc>
          <w:tcPr>
            <w:tcW w:w="3510" w:type="dxa"/>
            <w:shd w:val="clear" w:color="auto" w:fill="auto"/>
            <w:vAlign w:val="bottom"/>
          </w:tcPr>
          <w:p>
            <w:pPr>
              <w:rPr>
                <w:rFonts w:hint="default" w:ascii="Arial" w:hAnsi="Arial" w:cs="Arial"/>
                <w:i w:val="0"/>
                <w:color w:val="000000"/>
                <w:sz w:val="20"/>
                <w:szCs w:val="20"/>
                <w:u w:val="none"/>
              </w:rPr>
            </w:pPr>
          </w:p>
        </w:tc>
        <w:tc>
          <w:tcPr>
            <w:tcW w:w="1412" w:type="dxa"/>
            <w:shd w:val="clear" w:color="auto" w:fill="auto"/>
            <w:vAlign w:val="bottom"/>
          </w:tcPr>
          <w:p>
            <w:pPr>
              <w:rPr>
                <w:rFonts w:hint="default" w:ascii="Arial" w:hAnsi="Arial" w:cs="Arial"/>
                <w:i w:val="0"/>
                <w:color w:val="000000"/>
                <w:sz w:val="20"/>
                <w:szCs w:val="20"/>
                <w:u w:val="none"/>
              </w:rPr>
            </w:pPr>
          </w:p>
        </w:tc>
        <w:tc>
          <w:tcPr>
            <w:tcW w:w="1413"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093" w:type="dxa"/>
            <w:gridSpan w:val="4"/>
            <w:tcBorders>
              <w:top w:val="single" w:color="000000" w:sz="12" w:space="0"/>
              <w:left w:val="single" w:color="000000" w:sz="12"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510" w:type="dxa"/>
            <w:vMerge w:val="restart"/>
            <w:tcBorders>
              <w:top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412" w:type="dxa"/>
            <w:vMerge w:val="restart"/>
            <w:tcBorders>
              <w:top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413" w:type="dxa"/>
            <w:vMerge w:val="restart"/>
            <w:tcBorders>
              <w:top w:val="single" w:color="000000" w:sz="12"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509" w:type="dxa"/>
            <w:gridSpan w:val="3"/>
            <w:vMerge w:val="restart"/>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558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510"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412"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413" w:type="dxa"/>
            <w:vMerge w:val="continue"/>
            <w:tcBorders>
              <w:top w:val="single" w:color="000000" w:sz="12" w:space="0"/>
              <w:bottom w:val="single" w:color="000000" w:sz="4" w:space="0"/>
              <w:right w:val="single" w:color="000000" w:sz="12" w:space="0"/>
            </w:tcBorders>
            <w:shd w:val="clear" w:color="auto"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509" w:type="dxa"/>
            <w:gridSpan w:val="3"/>
            <w:vMerge w:val="continue"/>
            <w:tcBorders>
              <w:top w:val="single" w:color="000000" w:sz="4" w:space="0"/>
              <w:left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558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3510"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412"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413" w:type="dxa"/>
            <w:vMerge w:val="continue"/>
            <w:tcBorders>
              <w:top w:val="single" w:color="000000" w:sz="12" w:space="0"/>
              <w:bottom w:val="single" w:color="000000" w:sz="4" w:space="0"/>
              <w:right w:val="single" w:color="000000" w:sz="12" w:space="0"/>
            </w:tcBorders>
            <w:shd w:val="clear" w:color="auto"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509" w:type="dxa"/>
            <w:gridSpan w:val="3"/>
            <w:vMerge w:val="continue"/>
            <w:tcBorders>
              <w:top w:val="single" w:color="000000" w:sz="4" w:space="0"/>
              <w:left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558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3510"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412"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413" w:type="dxa"/>
            <w:vMerge w:val="continue"/>
            <w:tcBorders>
              <w:top w:val="single" w:color="000000" w:sz="12" w:space="0"/>
              <w:bottom w:val="single" w:color="000000" w:sz="4" w:space="0"/>
              <w:right w:val="single" w:color="000000" w:sz="12" w:space="0"/>
            </w:tcBorders>
            <w:shd w:val="clear" w:color="auto"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84" w:type="dxa"/>
            <w:vMerge w:val="restart"/>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55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510"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13" w:type="dxa"/>
            <w:tcBorders>
              <w:top w:val="single" w:color="000000" w:sz="4"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84" w:type="dxa"/>
            <w:vMerge w:val="continue"/>
            <w:tcBorders>
              <w:top w:val="single" w:color="000000" w:sz="4" w:space="0"/>
              <w:left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55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51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989.27</w:t>
            </w:r>
          </w:p>
        </w:tc>
        <w:tc>
          <w:tcPr>
            <w:tcW w:w="14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441.44</w:t>
            </w:r>
          </w:p>
        </w:tc>
        <w:tc>
          <w:tcPr>
            <w:tcW w:w="141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50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558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351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960.43</w:t>
            </w:r>
          </w:p>
        </w:tc>
        <w:tc>
          <w:tcPr>
            <w:tcW w:w="14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415.34</w:t>
            </w:r>
          </w:p>
        </w:tc>
        <w:tc>
          <w:tcPr>
            <w:tcW w:w="141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50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w:t>
            </w:r>
          </w:p>
        </w:tc>
        <w:tc>
          <w:tcPr>
            <w:tcW w:w="55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人力资源事务</w:t>
            </w:r>
          </w:p>
        </w:tc>
        <w:tc>
          <w:tcPr>
            <w:tcW w:w="351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960.43</w:t>
            </w:r>
          </w:p>
        </w:tc>
        <w:tc>
          <w:tcPr>
            <w:tcW w:w="14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415.34</w:t>
            </w:r>
          </w:p>
        </w:tc>
        <w:tc>
          <w:tcPr>
            <w:tcW w:w="141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50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2011001</w:t>
            </w:r>
          </w:p>
        </w:tc>
        <w:tc>
          <w:tcPr>
            <w:tcW w:w="55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351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415.34</w:t>
            </w:r>
          </w:p>
        </w:tc>
        <w:tc>
          <w:tcPr>
            <w:tcW w:w="14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415.34</w:t>
            </w:r>
          </w:p>
        </w:tc>
        <w:tc>
          <w:tcPr>
            <w:tcW w:w="141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50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2011008</w:t>
            </w:r>
          </w:p>
        </w:tc>
        <w:tc>
          <w:tcPr>
            <w:tcW w:w="55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引进人才费用</w:t>
            </w:r>
          </w:p>
        </w:tc>
        <w:tc>
          <w:tcPr>
            <w:tcW w:w="351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545.09</w:t>
            </w:r>
          </w:p>
        </w:tc>
        <w:tc>
          <w:tcPr>
            <w:tcW w:w="14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50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55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351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50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20606</w:t>
            </w:r>
          </w:p>
        </w:tc>
        <w:tc>
          <w:tcPr>
            <w:tcW w:w="55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社会科学</w:t>
            </w:r>
          </w:p>
        </w:tc>
        <w:tc>
          <w:tcPr>
            <w:tcW w:w="351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50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2060699</w:t>
            </w:r>
          </w:p>
        </w:tc>
        <w:tc>
          <w:tcPr>
            <w:tcW w:w="55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其他社会科学支出</w:t>
            </w:r>
          </w:p>
        </w:tc>
        <w:tc>
          <w:tcPr>
            <w:tcW w:w="351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50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w:t>
            </w:r>
          </w:p>
        </w:tc>
        <w:tc>
          <w:tcPr>
            <w:tcW w:w="55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其他科学技术支出</w:t>
            </w:r>
          </w:p>
        </w:tc>
        <w:tc>
          <w:tcPr>
            <w:tcW w:w="351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50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2069999</w:t>
            </w:r>
          </w:p>
        </w:tc>
        <w:tc>
          <w:tcPr>
            <w:tcW w:w="55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351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50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55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351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26.10</w:t>
            </w:r>
          </w:p>
        </w:tc>
        <w:tc>
          <w:tcPr>
            <w:tcW w:w="14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26.10</w:t>
            </w:r>
          </w:p>
        </w:tc>
        <w:tc>
          <w:tcPr>
            <w:tcW w:w="141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trPr>
        <w:tc>
          <w:tcPr>
            <w:tcW w:w="350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55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351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26.10</w:t>
            </w:r>
          </w:p>
        </w:tc>
        <w:tc>
          <w:tcPr>
            <w:tcW w:w="14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26.10</w:t>
            </w:r>
          </w:p>
        </w:tc>
        <w:tc>
          <w:tcPr>
            <w:tcW w:w="141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50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55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351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w:t>
            </w:r>
          </w:p>
        </w:tc>
        <w:tc>
          <w:tcPr>
            <w:tcW w:w="14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w:t>
            </w:r>
          </w:p>
        </w:tc>
        <w:tc>
          <w:tcPr>
            <w:tcW w:w="141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50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55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其他行政事业单位离退休支出</w:t>
            </w:r>
          </w:p>
        </w:tc>
        <w:tc>
          <w:tcPr>
            <w:tcW w:w="351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14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141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50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55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351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14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50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55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351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141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3"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trPr>
        <w:tc>
          <w:tcPr>
            <w:tcW w:w="3509" w:type="dxa"/>
            <w:gridSpan w:val="3"/>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2299901</w:t>
            </w:r>
          </w:p>
        </w:tc>
        <w:tc>
          <w:tcPr>
            <w:tcW w:w="5584"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3510"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1412"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3" w:type="dxa"/>
            <w:tcBorders>
              <w:top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428"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注：本表反映部门本年度一般公共预算财政拨款实际支出情况。</w:t>
            </w:r>
          </w:p>
        </w:tc>
      </w:tr>
    </w:tbl>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tbl>
      <w:tblPr>
        <w:tblStyle w:val="14"/>
        <w:tblW w:w="154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32"/>
        <w:gridCol w:w="6284"/>
        <w:gridCol w:w="3642"/>
        <w:gridCol w:w="1638"/>
        <w:gridCol w:w="1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5427" w:type="dxa"/>
            <w:gridSpan w:val="5"/>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2" w:type="dxa"/>
            <w:shd w:val="clear" w:color="auto" w:fill="auto"/>
            <w:vAlign w:val="bottom"/>
          </w:tcPr>
          <w:p>
            <w:pPr>
              <w:rPr>
                <w:rFonts w:hint="eastAsia" w:ascii="Arial" w:hAnsi="Arial" w:cs="Arial"/>
                <w:i w:val="0"/>
                <w:color w:val="000000"/>
                <w:sz w:val="20"/>
                <w:szCs w:val="20"/>
                <w:u w:val="none"/>
              </w:rPr>
            </w:pPr>
          </w:p>
        </w:tc>
        <w:tc>
          <w:tcPr>
            <w:tcW w:w="6284" w:type="dxa"/>
            <w:shd w:val="clear" w:color="auto" w:fill="auto"/>
            <w:vAlign w:val="bottom"/>
          </w:tcPr>
          <w:p>
            <w:pPr>
              <w:rPr>
                <w:rFonts w:hint="default" w:ascii="Arial" w:hAnsi="Arial" w:cs="Arial"/>
                <w:i w:val="0"/>
                <w:color w:val="000000"/>
                <w:sz w:val="20"/>
                <w:szCs w:val="20"/>
                <w:u w:val="none"/>
              </w:rPr>
            </w:pPr>
          </w:p>
        </w:tc>
        <w:tc>
          <w:tcPr>
            <w:tcW w:w="3642" w:type="dxa"/>
            <w:shd w:val="clear" w:color="auto" w:fill="auto"/>
            <w:vAlign w:val="bottom"/>
          </w:tcPr>
          <w:p>
            <w:pPr>
              <w:rPr>
                <w:rFonts w:hint="default" w:ascii="Arial" w:hAnsi="Arial" w:cs="Arial"/>
                <w:i w:val="0"/>
                <w:color w:val="000000"/>
                <w:sz w:val="20"/>
                <w:szCs w:val="20"/>
                <w:u w:val="none"/>
              </w:rPr>
            </w:pPr>
          </w:p>
        </w:tc>
        <w:tc>
          <w:tcPr>
            <w:tcW w:w="1638" w:type="dxa"/>
            <w:shd w:val="clear" w:color="auto" w:fill="auto"/>
            <w:vAlign w:val="bottom"/>
          </w:tcPr>
          <w:p>
            <w:pPr>
              <w:rPr>
                <w:rFonts w:hint="default" w:ascii="Arial" w:hAnsi="Arial" w:cs="Arial"/>
                <w:i w:val="0"/>
                <w:color w:val="000000"/>
                <w:sz w:val="20"/>
                <w:szCs w:val="20"/>
                <w:u w:val="none"/>
              </w:rPr>
            </w:pPr>
          </w:p>
        </w:tc>
        <w:tc>
          <w:tcPr>
            <w:tcW w:w="1931"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1858" w:type="dxa"/>
            <w:gridSpan w:val="3"/>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部门：广东省外国专家局</w:t>
            </w:r>
          </w:p>
        </w:tc>
        <w:tc>
          <w:tcPr>
            <w:tcW w:w="1638" w:type="dxa"/>
            <w:shd w:val="clear" w:color="auto" w:fill="auto"/>
            <w:vAlign w:val="bottom"/>
          </w:tcPr>
          <w:p>
            <w:pPr>
              <w:rPr>
                <w:rFonts w:hint="default" w:ascii="Arial" w:hAnsi="Arial" w:cs="Arial"/>
                <w:i w:val="0"/>
                <w:color w:val="000000"/>
                <w:sz w:val="20"/>
                <w:szCs w:val="20"/>
                <w:u w:val="none"/>
              </w:rPr>
            </w:pPr>
          </w:p>
        </w:tc>
        <w:tc>
          <w:tcPr>
            <w:tcW w:w="1931"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216" w:type="dxa"/>
            <w:gridSpan w:val="2"/>
            <w:tcBorders>
              <w:top w:val="single" w:color="000000" w:sz="12"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3642" w:type="dxa"/>
            <w:vMerge w:val="restart"/>
            <w:tcBorders>
              <w:top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638" w:type="dxa"/>
            <w:vMerge w:val="restart"/>
            <w:tcBorders>
              <w:top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1931" w:type="dxa"/>
            <w:vMerge w:val="restart"/>
            <w:tcBorders>
              <w:top w:val="single" w:color="000000" w:sz="12"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vMerge w:val="restart"/>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经济分类科目编码</w:t>
            </w:r>
          </w:p>
        </w:tc>
        <w:tc>
          <w:tcPr>
            <w:tcW w:w="6284" w:type="dxa"/>
            <w:vMerge w:val="restart"/>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642"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638"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931" w:type="dxa"/>
            <w:vMerge w:val="continue"/>
            <w:tcBorders>
              <w:top w:val="single" w:color="000000" w:sz="12" w:space="0"/>
              <w:bottom w:val="single" w:color="000000" w:sz="4" w:space="0"/>
              <w:right w:val="single" w:color="000000" w:sz="12" w:space="0"/>
            </w:tcBorders>
            <w:shd w:val="clear" w:color="auto"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vMerge w:val="continue"/>
            <w:tcBorders>
              <w:top w:val="single" w:color="000000" w:sz="4" w:space="0"/>
              <w:left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6284"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3642"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638"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931" w:type="dxa"/>
            <w:vMerge w:val="continue"/>
            <w:tcBorders>
              <w:top w:val="single" w:color="000000" w:sz="12" w:space="0"/>
              <w:bottom w:val="single" w:color="000000" w:sz="4" w:space="0"/>
              <w:right w:val="single" w:color="000000" w:sz="12" w:space="0"/>
            </w:tcBorders>
            <w:shd w:val="clear" w:color="auto"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932" w:type="dxa"/>
            <w:vMerge w:val="continue"/>
            <w:tcBorders>
              <w:top w:val="single" w:color="000000" w:sz="4" w:space="0"/>
              <w:left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6284"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3642"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638"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931" w:type="dxa"/>
            <w:vMerge w:val="continue"/>
            <w:tcBorders>
              <w:top w:val="single" w:color="000000" w:sz="12" w:space="0"/>
              <w:bottom w:val="single" w:color="000000" w:sz="4" w:space="0"/>
              <w:right w:val="single" w:color="000000" w:sz="12" w:space="0"/>
            </w:tcBorders>
            <w:shd w:val="clear" w:color="auto"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216" w:type="dxa"/>
            <w:gridSpan w:val="2"/>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3642"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38"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31" w:type="dxa"/>
            <w:tcBorders>
              <w:top w:val="single" w:color="000000" w:sz="4"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216" w:type="dxa"/>
            <w:gridSpan w:val="2"/>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364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8"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931" w:type="dxa"/>
            <w:tcBorders>
              <w:top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241.39</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241.39</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53.92</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53.92</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172.40</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172.40</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14.09</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14.09</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30104</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社会保障缴费</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0.98</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0.98</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36.39</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0.38</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7.65</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0.47</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163.66</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163.66</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22.35</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22.35</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28.41</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28.41</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36.31</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36.31</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30313</w:t>
            </w:r>
          </w:p>
        </w:tc>
        <w:tc>
          <w:tcPr>
            <w:tcW w:w="628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66.34</w:t>
            </w:r>
          </w:p>
        </w:tc>
        <w:tc>
          <w:tcPr>
            <w:tcW w:w="163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66.34</w:t>
            </w:r>
          </w:p>
        </w:tc>
        <w:tc>
          <w:tcPr>
            <w:tcW w:w="193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2"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6284"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其他对个人和家庭的补助支出</w:t>
            </w:r>
          </w:p>
        </w:tc>
        <w:tc>
          <w:tcPr>
            <w:tcW w:w="36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9.14</w:t>
            </w:r>
          </w:p>
        </w:tc>
        <w:tc>
          <w:tcPr>
            <w:tcW w:w="1638"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9.14</w:t>
            </w:r>
          </w:p>
        </w:tc>
        <w:tc>
          <w:tcPr>
            <w:tcW w:w="1931" w:type="dxa"/>
            <w:tcBorders>
              <w:top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427"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tbl>
      <w:tblPr>
        <w:tblStyle w:val="14"/>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54"/>
        <w:gridCol w:w="1160"/>
        <w:gridCol w:w="1153"/>
        <w:gridCol w:w="1"/>
        <w:gridCol w:w="1342"/>
        <w:gridCol w:w="1153"/>
        <w:gridCol w:w="1454"/>
        <w:gridCol w:w="1154"/>
        <w:gridCol w:w="1160"/>
        <w:gridCol w:w="1154"/>
        <w:gridCol w:w="1342"/>
        <w:gridCol w:w="1454"/>
        <w:gridCol w:w="1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981" w:type="dxa"/>
            <w:gridSpan w:val="12"/>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w:t>
            </w:r>
            <w:r>
              <w:rPr>
                <w:rStyle w:val="20"/>
                <w:rFonts w:eastAsia="宋体"/>
                <w:lang w:val="en-US" w:eastAsia="zh-CN" w:bidi="ar"/>
              </w:rPr>
              <w:t>“</w:t>
            </w:r>
            <w:r>
              <w:rPr>
                <w:rStyle w:val="21"/>
                <w:lang w:val="en-US" w:eastAsia="zh-CN" w:bidi="ar"/>
              </w:rPr>
              <w:t>三公</w:t>
            </w:r>
            <w:r>
              <w:rPr>
                <w:rStyle w:val="20"/>
                <w:rFonts w:eastAsia="宋体"/>
                <w:lang w:val="en-US" w:eastAsia="zh-CN" w:bidi="ar"/>
              </w:rPr>
              <w:t>”</w:t>
            </w:r>
            <w:r>
              <w:rPr>
                <w:rStyle w:val="21"/>
                <w:lang w:val="en-US" w:eastAsia="zh-CN" w:bidi="ar"/>
              </w:rPr>
              <w:t>经费支出决算表</w:t>
            </w:r>
          </w:p>
        </w:tc>
        <w:tc>
          <w:tcPr>
            <w:tcW w:w="1447"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54" w:type="dxa"/>
            <w:shd w:val="clear" w:color="auto" w:fill="auto"/>
            <w:vAlign w:val="bottom"/>
          </w:tcPr>
          <w:p>
            <w:pPr>
              <w:rPr>
                <w:rFonts w:hint="default" w:ascii="Arial" w:hAnsi="Arial" w:cs="Arial"/>
                <w:i w:val="0"/>
                <w:color w:val="000000"/>
                <w:sz w:val="20"/>
                <w:szCs w:val="20"/>
                <w:u w:val="none"/>
              </w:rPr>
            </w:pPr>
          </w:p>
        </w:tc>
        <w:tc>
          <w:tcPr>
            <w:tcW w:w="1160" w:type="dxa"/>
            <w:shd w:val="clear" w:color="auto" w:fill="auto"/>
            <w:vAlign w:val="bottom"/>
          </w:tcPr>
          <w:p>
            <w:pPr>
              <w:rPr>
                <w:rFonts w:hint="default" w:ascii="Arial" w:hAnsi="Arial" w:cs="Arial"/>
                <w:i w:val="0"/>
                <w:color w:val="000000"/>
                <w:sz w:val="20"/>
                <w:szCs w:val="20"/>
                <w:u w:val="none"/>
              </w:rPr>
            </w:pPr>
          </w:p>
        </w:tc>
        <w:tc>
          <w:tcPr>
            <w:tcW w:w="1153" w:type="dxa"/>
            <w:shd w:val="clear" w:color="auto" w:fill="auto"/>
            <w:vAlign w:val="bottom"/>
          </w:tcPr>
          <w:p>
            <w:pPr>
              <w:rPr>
                <w:rFonts w:hint="default" w:ascii="Arial" w:hAnsi="Arial" w:cs="Arial"/>
                <w:i w:val="0"/>
                <w:color w:val="000000"/>
                <w:sz w:val="20"/>
                <w:szCs w:val="20"/>
                <w:u w:val="none"/>
              </w:rPr>
            </w:pPr>
          </w:p>
        </w:tc>
        <w:tc>
          <w:tcPr>
            <w:tcW w:w="1343" w:type="dxa"/>
            <w:gridSpan w:val="2"/>
            <w:shd w:val="clear" w:color="auto" w:fill="auto"/>
            <w:vAlign w:val="bottom"/>
          </w:tcPr>
          <w:p>
            <w:pPr>
              <w:rPr>
                <w:rFonts w:hint="default" w:ascii="Arial" w:hAnsi="Arial" w:cs="Arial"/>
                <w:i w:val="0"/>
                <w:color w:val="000000"/>
                <w:sz w:val="20"/>
                <w:szCs w:val="20"/>
                <w:u w:val="none"/>
              </w:rPr>
            </w:pPr>
          </w:p>
        </w:tc>
        <w:tc>
          <w:tcPr>
            <w:tcW w:w="1153" w:type="dxa"/>
            <w:shd w:val="clear" w:color="auto" w:fill="auto"/>
            <w:vAlign w:val="bottom"/>
          </w:tcPr>
          <w:p>
            <w:pPr>
              <w:rPr>
                <w:rFonts w:hint="default" w:ascii="Arial" w:hAnsi="Arial" w:cs="Arial"/>
                <w:i w:val="0"/>
                <w:color w:val="000000"/>
                <w:sz w:val="20"/>
                <w:szCs w:val="20"/>
                <w:u w:val="none"/>
              </w:rPr>
            </w:pPr>
          </w:p>
        </w:tc>
        <w:tc>
          <w:tcPr>
            <w:tcW w:w="1454" w:type="dxa"/>
            <w:shd w:val="clear" w:color="auto" w:fill="auto"/>
            <w:vAlign w:val="bottom"/>
          </w:tcPr>
          <w:p>
            <w:pPr>
              <w:rPr>
                <w:rFonts w:hint="default" w:ascii="Arial" w:hAnsi="Arial" w:cs="Arial"/>
                <w:i w:val="0"/>
                <w:color w:val="000000"/>
                <w:sz w:val="20"/>
                <w:szCs w:val="20"/>
                <w:u w:val="none"/>
              </w:rPr>
            </w:pPr>
          </w:p>
        </w:tc>
        <w:tc>
          <w:tcPr>
            <w:tcW w:w="1154" w:type="dxa"/>
            <w:shd w:val="clear" w:color="auto" w:fill="auto"/>
            <w:vAlign w:val="bottom"/>
          </w:tcPr>
          <w:p>
            <w:pPr>
              <w:rPr>
                <w:rFonts w:hint="default" w:ascii="Arial" w:hAnsi="Arial" w:cs="Arial"/>
                <w:i w:val="0"/>
                <w:color w:val="000000"/>
                <w:sz w:val="20"/>
                <w:szCs w:val="20"/>
                <w:u w:val="none"/>
              </w:rPr>
            </w:pPr>
          </w:p>
        </w:tc>
        <w:tc>
          <w:tcPr>
            <w:tcW w:w="1160" w:type="dxa"/>
            <w:shd w:val="clear" w:color="auto" w:fill="auto"/>
            <w:vAlign w:val="bottom"/>
          </w:tcPr>
          <w:p>
            <w:pPr>
              <w:rPr>
                <w:rFonts w:hint="default" w:ascii="Arial" w:hAnsi="Arial" w:cs="Arial"/>
                <w:i w:val="0"/>
                <w:color w:val="000000"/>
                <w:sz w:val="20"/>
                <w:szCs w:val="20"/>
                <w:u w:val="none"/>
              </w:rPr>
            </w:pPr>
          </w:p>
        </w:tc>
        <w:tc>
          <w:tcPr>
            <w:tcW w:w="1154" w:type="dxa"/>
            <w:shd w:val="clear" w:color="auto" w:fill="auto"/>
            <w:vAlign w:val="bottom"/>
          </w:tcPr>
          <w:p>
            <w:pPr>
              <w:rPr>
                <w:rFonts w:hint="default" w:ascii="Arial" w:hAnsi="Arial" w:cs="Arial"/>
                <w:i w:val="0"/>
                <w:color w:val="000000"/>
                <w:sz w:val="20"/>
                <w:szCs w:val="20"/>
                <w:u w:val="none"/>
              </w:rPr>
            </w:pPr>
          </w:p>
        </w:tc>
        <w:tc>
          <w:tcPr>
            <w:tcW w:w="1342" w:type="dxa"/>
            <w:shd w:val="clear" w:color="auto" w:fill="auto"/>
            <w:vAlign w:val="bottom"/>
          </w:tcPr>
          <w:p>
            <w:pPr>
              <w:rPr>
                <w:rFonts w:hint="default" w:ascii="Arial" w:hAnsi="Arial" w:cs="Arial"/>
                <w:i w:val="0"/>
                <w:color w:val="000000"/>
                <w:sz w:val="20"/>
                <w:szCs w:val="20"/>
                <w:u w:val="none"/>
              </w:rPr>
            </w:pPr>
          </w:p>
        </w:tc>
        <w:tc>
          <w:tcPr>
            <w:tcW w:w="1454" w:type="dxa"/>
            <w:shd w:val="clear" w:color="auto" w:fill="auto"/>
            <w:vAlign w:val="bottom"/>
          </w:tcPr>
          <w:p>
            <w:pPr>
              <w:rPr>
                <w:rFonts w:hint="default" w:ascii="Arial" w:hAnsi="Arial" w:cs="Arial"/>
                <w:i w:val="0"/>
                <w:color w:val="000000"/>
                <w:sz w:val="20"/>
                <w:szCs w:val="20"/>
                <w:u w:val="none"/>
              </w:rPr>
            </w:pPr>
          </w:p>
        </w:tc>
        <w:tc>
          <w:tcPr>
            <w:tcW w:w="1447"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5110" w:type="dxa"/>
            <w:gridSpan w:val="5"/>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部门：广东省外国专家局</w:t>
            </w:r>
          </w:p>
        </w:tc>
        <w:tc>
          <w:tcPr>
            <w:tcW w:w="1153" w:type="dxa"/>
            <w:shd w:val="clear" w:color="auto" w:fill="auto"/>
            <w:vAlign w:val="bottom"/>
          </w:tcPr>
          <w:p>
            <w:pPr>
              <w:rPr>
                <w:rFonts w:hint="default" w:ascii="Arial" w:hAnsi="Arial" w:cs="Arial"/>
                <w:i w:val="0"/>
                <w:color w:val="000000"/>
                <w:sz w:val="20"/>
                <w:szCs w:val="20"/>
                <w:u w:val="none"/>
              </w:rPr>
            </w:pPr>
          </w:p>
        </w:tc>
        <w:tc>
          <w:tcPr>
            <w:tcW w:w="1454" w:type="dxa"/>
            <w:shd w:val="clear" w:color="auto" w:fill="auto"/>
            <w:vAlign w:val="bottom"/>
          </w:tcPr>
          <w:p>
            <w:pPr>
              <w:rPr>
                <w:rFonts w:hint="default" w:ascii="Arial" w:hAnsi="Arial" w:cs="Arial"/>
                <w:i w:val="0"/>
                <w:color w:val="000000"/>
                <w:sz w:val="20"/>
                <w:szCs w:val="20"/>
                <w:u w:val="none"/>
              </w:rPr>
            </w:pPr>
          </w:p>
        </w:tc>
        <w:tc>
          <w:tcPr>
            <w:tcW w:w="1154" w:type="dxa"/>
            <w:shd w:val="clear" w:color="auto" w:fill="auto"/>
            <w:vAlign w:val="bottom"/>
          </w:tcPr>
          <w:p>
            <w:pPr>
              <w:rPr>
                <w:rFonts w:hint="default" w:ascii="Arial" w:hAnsi="Arial" w:cs="Arial"/>
                <w:i w:val="0"/>
                <w:color w:val="000000"/>
                <w:sz w:val="20"/>
                <w:szCs w:val="20"/>
                <w:u w:val="none"/>
              </w:rPr>
            </w:pPr>
          </w:p>
        </w:tc>
        <w:tc>
          <w:tcPr>
            <w:tcW w:w="1160" w:type="dxa"/>
            <w:shd w:val="clear" w:color="auto" w:fill="auto"/>
            <w:vAlign w:val="bottom"/>
          </w:tcPr>
          <w:p>
            <w:pPr>
              <w:rPr>
                <w:rFonts w:hint="default" w:ascii="Arial" w:hAnsi="Arial" w:cs="Arial"/>
                <w:i w:val="0"/>
                <w:color w:val="000000"/>
                <w:sz w:val="20"/>
                <w:szCs w:val="20"/>
                <w:u w:val="none"/>
              </w:rPr>
            </w:pPr>
          </w:p>
        </w:tc>
        <w:tc>
          <w:tcPr>
            <w:tcW w:w="1154" w:type="dxa"/>
            <w:shd w:val="clear" w:color="auto" w:fill="auto"/>
            <w:vAlign w:val="bottom"/>
          </w:tcPr>
          <w:p>
            <w:pPr>
              <w:rPr>
                <w:rFonts w:hint="default" w:ascii="Arial" w:hAnsi="Arial" w:cs="Arial"/>
                <w:i w:val="0"/>
                <w:color w:val="000000"/>
                <w:sz w:val="20"/>
                <w:szCs w:val="20"/>
                <w:u w:val="none"/>
              </w:rPr>
            </w:pPr>
          </w:p>
        </w:tc>
        <w:tc>
          <w:tcPr>
            <w:tcW w:w="1342" w:type="dxa"/>
            <w:shd w:val="clear" w:color="auto" w:fill="auto"/>
            <w:vAlign w:val="bottom"/>
          </w:tcPr>
          <w:p>
            <w:pPr>
              <w:rPr>
                <w:rFonts w:hint="default" w:ascii="Arial" w:hAnsi="Arial" w:cs="Arial"/>
                <w:i w:val="0"/>
                <w:color w:val="000000"/>
                <w:sz w:val="20"/>
                <w:szCs w:val="20"/>
                <w:u w:val="none"/>
              </w:rPr>
            </w:pPr>
          </w:p>
        </w:tc>
        <w:tc>
          <w:tcPr>
            <w:tcW w:w="1454" w:type="dxa"/>
            <w:shd w:val="clear" w:color="auto" w:fill="auto"/>
            <w:vAlign w:val="bottom"/>
          </w:tcPr>
          <w:p>
            <w:pPr>
              <w:rPr>
                <w:rFonts w:hint="default" w:ascii="Arial" w:hAnsi="Arial" w:cs="Arial"/>
                <w:i w:val="0"/>
                <w:color w:val="000000"/>
                <w:sz w:val="20"/>
                <w:szCs w:val="20"/>
                <w:u w:val="none"/>
              </w:rPr>
            </w:pPr>
          </w:p>
        </w:tc>
        <w:tc>
          <w:tcPr>
            <w:tcW w:w="1447"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717" w:type="dxa"/>
            <w:gridSpan w:val="7"/>
            <w:tcBorders>
              <w:top w:val="single" w:color="000000" w:sz="12"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2015年度预算数</w:t>
            </w:r>
          </w:p>
        </w:tc>
        <w:tc>
          <w:tcPr>
            <w:tcW w:w="7711" w:type="dxa"/>
            <w:gridSpan w:val="6"/>
            <w:tcBorders>
              <w:top w:val="single" w:color="000000" w:sz="12" w:space="0"/>
              <w:left w:val="single" w:color="000000" w:sz="4"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54" w:type="dxa"/>
            <w:vMerge w:val="restart"/>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95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447" w:type="dxa"/>
            <w:vMerge w:val="restart"/>
            <w:tcBorders>
              <w:top w:val="single" w:color="000000" w:sz="4" w:space="0"/>
              <w:left w:val="single" w:color="000000" w:sz="4"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454" w:type="dxa"/>
            <w:vMerge w:val="continue"/>
            <w:tcBorders>
              <w:top w:val="single" w:color="000000" w:sz="4" w:space="0"/>
              <w:left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3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3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4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447" w:type="dxa"/>
            <w:vMerge w:val="continue"/>
            <w:tcBorders>
              <w:top w:val="single" w:color="000000" w:sz="4" w:space="0"/>
              <w:left w:val="single" w:color="000000" w:sz="4" w:space="0"/>
              <w:bottom w:val="single" w:color="000000" w:sz="4" w:space="0"/>
              <w:right w:val="single" w:color="000000" w:sz="12" w:space="0"/>
            </w:tcBorders>
            <w:shd w:val="clear" w:color="auto"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54"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47" w:type="dxa"/>
            <w:tcBorders>
              <w:top w:val="single" w:color="000000" w:sz="4" w:space="0"/>
              <w:left w:val="single" w:color="000000" w:sz="4"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54"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77.00</w:t>
            </w:r>
          </w:p>
        </w:tc>
        <w:tc>
          <w:tcPr>
            <w:tcW w:w="1160"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26.00</w:t>
            </w:r>
          </w:p>
        </w:tc>
        <w:tc>
          <w:tcPr>
            <w:tcW w:w="1154" w:type="dxa"/>
            <w:gridSpan w:val="2"/>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1342"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3"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1454"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154"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30.63</w:t>
            </w:r>
          </w:p>
        </w:tc>
        <w:tc>
          <w:tcPr>
            <w:tcW w:w="1160"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w:t>
            </w:r>
          </w:p>
        </w:tc>
        <w:tc>
          <w:tcPr>
            <w:tcW w:w="1154"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17.42</w:t>
            </w:r>
          </w:p>
        </w:tc>
        <w:tc>
          <w:tcPr>
            <w:tcW w:w="1342"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54" w:type="dxa"/>
            <w:tcBorders>
              <w:top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17.42</w:t>
            </w:r>
          </w:p>
        </w:tc>
        <w:tc>
          <w:tcPr>
            <w:tcW w:w="1447" w:type="dxa"/>
            <w:tcBorders>
              <w:top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5428" w:type="dxa"/>
            <w:gridSpan w:val="1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注：2015年度预算数为“三公”经费年初预算数，决算数是包括当年一般公共预算财政拨款和以前年度结转资金安排的实际支出。</w:t>
            </w:r>
          </w:p>
        </w:tc>
      </w:tr>
    </w:tbl>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tbl>
      <w:tblPr>
        <w:tblStyle w:val="14"/>
        <w:tblW w:w="154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
        <w:gridCol w:w="1066"/>
        <w:gridCol w:w="418"/>
        <w:gridCol w:w="1806"/>
        <w:gridCol w:w="2191"/>
        <w:gridCol w:w="1983"/>
        <w:gridCol w:w="2073"/>
        <w:gridCol w:w="1069"/>
        <w:gridCol w:w="2073"/>
        <w:gridCol w:w="2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5427" w:type="dxa"/>
            <w:gridSpan w:val="10"/>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458" w:type="dxa"/>
            <w:shd w:val="clear" w:color="auto" w:fill="auto"/>
            <w:vAlign w:val="bottom"/>
          </w:tcPr>
          <w:p>
            <w:pPr>
              <w:rPr>
                <w:rFonts w:hint="eastAsia" w:ascii="Arial" w:hAnsi="Arial" w:cs="Arial"/>
                <w:i w:val="0"/>
                <w:color w:val="000000"/>
                <w:sz w:val="20"/>
                <w:szCs w:val="20"/>
                <w:u w:val="none"/>
              </w:rPr>
            </w:pPr>
          </w:p>
        </w:tc>
        <w:tc>
          <w:tcPr>
            <w:tcW w:w="1066" w:type="dxa"/>
            <w:shd w:val="clear" w:color="auto" w:fill="auto"/>
            <w:vAlign w:val="bottom"/>
          </w:tcPr>
          <w:p>
            <w:pPr>
              <w:rPr>
                <w:rFonts w:hint="default" w:ascii="Arial" w:hAnsi="Arial" w:cs="Arial"/>
                <w:i w:val="0"/>
                <w:color w:val="000000"/>
                <w:sz w:val="20"/>
                <w:szCs w:val="20"/>
                <w:u w:val="none"/>
              </w:rPr>
            </w:pPr>
          </w:p>
        </w:tc>
        <w:tc>
          <w:tcPr>
            <w:tcW w:w="418" w:type="dxa"/>
            <w:shd w:val="clear" w:color="auto" w:fill="auto"/>
            <w:vAlign w:val="bottom"/>
          </w:tcPr>
          <w:p>
            <w:pPr>
              <w:rPr>
                <w:rFonts w:hint="default" w:ascii="Arial" w:hAnsi="Arial" w:cs="Arial"/>
                <w:i w:val="0"/>
                <w:color w:val="000000"/>
                <w:sz w:val="20"/>
                <w:szCs w:val="20"/>
                <w:u w:val="none"/>
              </w:rPr>
            </w:pPr>
          </w:p>
        </w:tc>
        <w:tc>
          <w:tcPr>
            <w:tcW w:w="1806" w:type="dxa"/>
            <w:shd w:val="clear" w:color="auto" w:fill="auto"/>
            <w:vAlign w:val="bottom"/>
          </w:tcPr>
          <w:p>
            <w:pPr>
              <w:rPr>
                <w:rFonts w:hint="default" w:ascii="Arial" w:hAnsi="Arial" w:cs="Arial"/>
                <w:i w:val="0"/>
                <w:color w:val="000000"/>
                <w:sz w:val="20"/>
                <w:szCs w:val="20"/>
                <w:u w:val="none"/>
              </w:rPr>
            </w:pPr>
          </w:p>
        </w:tc>
        <w:tc>
          <w:tcPr>
            <w:tcW w:w="2191" w:type="dxa"/>
            <w:shd w:val="clear" w:color="auto" w:fill="auto"/>
            <w:vAlign w:val="bottom"/>
          </w:tcPr>
          <w:p>
            <w:pPr>
              <w:rPr>
                <w:rFonts w:hint="default" w:ascii="Arial" w:hAnsi="Arial" w:cs="Arial"/>
                <w:i w:val="0"/>
                <w:color w:val="000000"/>
                <w:sz w:val="20"/>
                <w:szCs w:val="20"/>
                <w:u w:val="none"/>
              </w:rPr>
            </w:pPr>
          </w:p>
        </w:tc>
        <w:tc>
          <w:tcPr>
            <w:tcW w:w="1983" w:type="dxa"/>
            <w:shd w:val="clear" w:color="auto" w:fill="auto"/>
            <w:vAlign w:val="bottom"/>
          </w:tcPr>
          <w:p>
            <w:pPr>
              <w:rPr>
                <w:rFonts w:hint="default" w:ascii="Arial" w:hAnsi="Arial" w:cs="Arial"/>
                <w:i w:val="0"/>
                <w:color w:val="000000"/>
                <w:sz w:val="20"/>
                <w:szCs w:val="20"/>
                <w:u w:val="none"/>
              </w:rPr>
            </w:pPr>
          </w:p>
        </w:tc>
        <w:tc>
          <w:tcPr>
            <w:tcW w:w="2073" w:type="dxa"/>
            <w:shd w:val="clear" w:color="auto" w:fill="auto"/>
            <w:vAlign w:val="bottom"/>
          </w:tcPr>
          <w:p>
            <w:pPr>
              <w:rPr>
                <w:rFonts w:hint="default" w:ascii="Arial" w:hAnsi="Arial" w:cs="Arial"/>
                <w:i w:val="0"/>
                <w:color w:val="000000"/>
                <w:sz w:val="20"/>
                <w:szCs w:val="20"/>
                <w:u w:val="none"/>
              </w:rPr>
            </w:pPr>
          </w:p>
        </w:tc>
        <w:tc>
          <w:tcPr>
            <w:tcW w:w="1069" w:type="dxa"/>
            <w:shd w:val="clear" w:color="auto" w:fill="auto"/>
            <w:vAlign w:val="bottom"/>
          </w:tcPr>
          <w:p>
            <w:pPr>
              <w:rPr>
                <w:rFonts w:hint="default" w:ascii="Arial" w:hAnsi="Arial" w:cs="Arial"/>
                <w:i w:val="0"/>
                <w:color w:val="000000"/>
                <w:sz w:val="20"/>
                <w:szCs w:val="20"/>
                <w:u w:val="none"/>
              </w:rPr>
            </w:pPr>
          </w:p>
        </w:tc>
        <w:tc>
          <w:tcPr>
            <w:tcW w:w="2073" w:type="dxa"/>
            <w:shd w:val="clear" w:color="auto" w:fill="auto"/>
            <w:vAlign w:val="bottom"/>
          </w:tcPr>
          <w:p>
            <w:pPr>
              <w:rPr>
                <w:rFonts w:hint="default" w:ascii="Arial" w:hAnsi="Arial" w:cs="Arial"/>
                <w:i w:val="0"/>
                <w:color w:val="000000"/>
                <w:sz w:val="20"/>
                <w:szCs w:val="20"/>
                <w:u w:val="none"/>
              </w:rPr>
            </w:pPr>
          </w:p>
        </w:tc>
        <w:tc>
          <w:tcPr>
            <w:tcW w:w="229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5939" w:type="dxa"/>
            <w:gridSpan w:val="5"/>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部门：广东省外国专家局</w:t>
            </w:r>
          </w:p>
        </w:tc>
        <w:tc>
          <w:tcPr>
            <w:tcW w:w="1983" w:type="dxa"/>
            <w:shd w:val="clear" w:color="auto" w:fill="auto"/>
            <w:vAlign w:val="bottom"/>
          </w:tcPr>
          <w:p>
            <w:pPr>
              <w:rPr>
                <w:rFonts w:hint="default" w:ascii="Arial" w:hAnsi="Arial" w:cs="Arial"/>
                <w:i w:val="0"/>
                <w:color w:val="000000"/>
                <w:sz w:val="20"/>
                <w:szCs w:val="20"/>
                <w:u w:val="none"/>
              </w:rPr>
            </w:pPr>
          </w:p>
        </w:tc>
        <w:tc>
          <w:tcPr>
            <w:tcW w:w="2073" w:type="dxa"/>
            <w:shd w:val="clear" w:color="auto" w:fill="auto"/>
            <w:vAlign w:val="bottom"/>
          </w:tcPr>
          <w:p>
            <w:pPr>
              <w:rPr>
                <w:rFonts w:hint="default" w:ascii="Arial" w:hAnsi="Arial" w:cs="Arial"/>
                <w:i w:val="0"/>
                <w:color w:val="000000"/>
                <w:sz w:val="20"/>
                <w:szCs w:val="20"/>
                <w:u w:val="none"/>
              </w:rPr>
            </w:pPr>
          </w:p>
        </w:tc>
        <w:tc>
          <w:tcPr>
            <w:tcW w:w="1069" w:type="dxa"/>
            <w:shd w:val="clear" w:color="auto" w:fill="auto"/>
            <w:vAlign w:val="bottom"/>
          </w:tcPr>
          <w:p>
            <w:pPr>
              <w:rPr>
                <w:rFonts w:hint="default" w:ascii="Arial" w:hAnsi="Arial" w:cs="Arial"/>
                <w:i w:val="0"/>
                <w:color w:val="000000"/>
                <w:sz w:val="20"/>
                <w:szCs w:val="20"/>
                <w:u w:val="none"/>
              </w:rPr>
            </w:pPr>
          </w:p>
        </w:tc>
        <w:tc>
          <w:tcPr>
            <w:tcW w:w="2073" w:type="dxa"/>
            <w:shd w:val="clear" w:color="auto" w:fill="auto"/>
            <w:vAlign w:val="bottom"/>
          </w:tcPr>
          <w:p>
            <w:pPr>
              <w:rPr>
                <w:rFonts w:hint="default" w:ascii="Arial" w:hAnsi="Arial" w:cs="Arial"/>
                <w:i w:val="0"/>
                <w:color w:val="000000"/>
                <w:sz w:val="20"/>
                <w:szCs w:val="20"/>
                <w:u w:val="none"/>
              </w:rPr>
            </w:pPr>
          </w:p>
        </w:tc>
        <w:tc>
          <w:tcPr>
            <w:tcW w:w="229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748" w:type="dxa"/>
            <w:gridSpan w:val="4"/>
            <w:tcBorders>
              <w:top w:val="single" w:color="000000" w:sz="12"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191" w:type="dxa"/>
            <w:vMerge w:val="restart"/>
            <w:tcBorders>
              <w:top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983" w:type="dxa"/>
            <w:vMerge w:val="restart"/>
            <w:tcBorders>
              <w:top w:val="single" w:color="000000" w:sz="12" w:space="0"/>
              <w:bottom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5215" w:type="dxa"/>
            <w:gridSpan w:val="3"/>
            <w:tcBorders>
              <w:top w:val="single" w:color="000000" w:sz="12"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2290" w:type="dxa"/>
            <w:vMerge w:val="restart"/>
            <w:tcBorders>
              <w:top w:val="single" w:color="000000" w:sz="12"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1942" w:type="dxa"/>
            <w:gridSpan w:val="3"/>
            <w:vMerge w:val="restart"/>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80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191"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983" w:type="dxa"/>
            <w:vMerge w:val="continue"/>
            <w:tcBorders>
              <w:top w:val="single" w:color="000000" w:sz="12" w:space="0"/>
              <w:bottom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07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支出</w:t>
            </w:r>
          </w:p>
        </w:tc>
        <w:tc>
          <w:tcPr>
            <w:tcW w:w="207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支出</w:t>
            </w:r>
          </w:p>
        </w:tc>
        <w:tc>
          <w:tcPr>
            <w:tcW w:w="2290" w:type="dxa"/>
            <w:vMerge w:val="continue"/>
            <w:tcBorders>
              <w:top w:val="single" w:color="000000" w:sz="12" w:space="0"/>
              <w:bottom w:val="single" w:color="000000" w:sz="4" w:space="0"/>
              <w:right w:val="single" w:color="000000" w:sz="12" w:space="0"/>
            </w:tcBorders>
            <w:shd w:val="clear" w:color="auto"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42" w:type="dxa"/>
            <w:gridSpan w:val="3"/>
            <w:vMerge w:val="continue"/>
            <w:tcBorders>
              <w:top w:val="single" w:color="000000" w:sz="4" w:space="0"/>
              <w:left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191" w:type="dxa"/>
            <w:vMerge w:val="continue"/>
            <w:tcBorders>
              <w:top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983" w:type="dxa"/>
            <w:vMerge w:val="continue"/>
            <w:tcBorders>
              <w:top w:val="single" w:color="000000" w:sz="12" w:space="0"/>
              <w:bottom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2290" w:type="dxa"/>
            <w:vMerge w:val="continue"/>
            <w:tcBorders>
              <w:top w:val="single" w:color="000000" w:sz="12" w:space="0"/>
              <w:bottom w:val="single" w:color="000000" w:sz="4" w:space="0"/>
              <w:right w:val="single" w:color="000000" w:sz="12" w:space="0"/>
            </w:tcBorders>
            <w:shd w:val="clear" w:color="auto"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vMerge w:val="restart"/>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1066" w:type="dxa"/>
            <w:vMerge w:val="restart"/>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418" w:type="dxa"/>
            <w:vMerge w:val="restart"/>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80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191"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83"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7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69"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07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290" w:type="dxa"/>
            <w:tcBorders>
              <w:top w:val="single" w:color="000000" w:sz="4"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vMerge w:val="continue"/>
            <w:tcBorders>
              <w:top w:val="single" w:color="000000" w:sz="4" w:space="0"/>
              <w:left w:val="single" w:color="000000" w:sz="12"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066"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418"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2"/>
                <w:szCs w:val="22"/>
                <w:u w:val="none"/>
              </w:rPr>
            </w:pPr>
          </w:p>
        </w:tc>
        <w:tc>
          <w:tcPr>
            <w:tcW w:w="1806"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8"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trPr>
        <w:tc>
          <w:tcPr>
            <w:tcW w:w="458"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6"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8"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06"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83"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3"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9"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3"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0"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427"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sectPr>
          <w:pgSz w:w="16838" w:h="11906" w:orient="landscape"/>
          <w:pgMar w:top="720" w:right="720" w:bottom="720" w:left="720"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第三部分 2015年度部门决算情况及重要事项说明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150"/>
        <w:jc w:val="left"/>
        <w:textAlignment w:val="auto"/>
        <w:rPr>
          <w:rFonts w:hint="eastAsia" w:ascii="楷体" w:hAnsi="楷体" w:eastAsia="楷体" w:cs="楷体"/>
          <w:color w:val="000000"/>
          <w:spacing w:val="-2"/>
          <w:kern w:val="2"/>
          <w:sz w:val="32"/>
          <w:szCs w:val="32"/>
          <w:lang w:val="en-US" w:eastAsia="zh-CN" w:bidi="ar-SA"/>
        </w:rPr>
      </w:pPr>
      <w:r>
        <w:rPr>
          <w:rFonts w:hint="eastAsia" w:ascii="楷体" w:hAnsi="楷体" w:eastAsia="楷体" w:cs="楷体"/>
          <w:color w:val="000000"/>
          <w:spacing w:val="-2"/>
          <w:kern w:val="2"/>
          <w:sz w:val="32"/>
          <w:szCs w:val="32"/>
          <w:lang w:val="en-US" w:eastAsia="zh-CN" w:bidi="ar-SA"/>
        </w:rPr>
        <w:t xml:space="preserve">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150"/>
        <w:jc w:val="both"/>
        <w:textAlignment w:val="auto"/>
        <w:rPr>
          <w:rStyle w:val="4"/>
          <w:rFonts w:hint="eastAsia" w:ascii="黑体" w:hAnsi="黑体" w:eastAsia="黑体" w:cs="黑体"/>
          <w:b w:val="0"/>
          <w:bCs w:val="0"/>
          <w:color w:val="000000"/>
          <w:kern w:val="2"/>
          <w:sz w:val="32"/>
          <w:szCs w:val="32"/>
          <w:shd w:val="clear" w:color="070000" w:fill="FFFFFF"/>
          <w:lang w:val="en-US" w:eastAsia="zh-CN" w:bidi="ar-SA"/>
        </w:rPr>
      </w:pPr>
      <w:r>
        <w:rPr>
          <w:rStyle w:val="4"/>
          <w:rFonts w:hint="eastAsia" w:ascii="黑体" w:hAnsi="黑体" w:eastAsia="黑体" w:cs="黑体"/>
          <w:bCs/>
          <w:color w:val="000000"/>
          <w:kern w:val="2"/>
          <w:sz w:val="32"/>
          <w:szCs w:val="32"/>
          <w:shd w:val="clear" w:color="070000" w:fill="FFFFFF"/>
          <w:lang w:val="en-US" w:eastAsia="zh-CN" w:bidi="ar-SA"/>
        </w:rPr>
        <w:t xml:space="preserve">    </w:t>
      </w:r>
      <w:r>
        <w:rPr>
          <w:rStyle w:val="4"/>
          <w:rFonts w:hint="eastAsia" w:ascii="黑体" w:hAnsi="黑体" w:eastAsia="黑体" w:cs="黑体"/>
          <w:b w:val="0"/>
          <w:bCs w:val="0"/>
          <w:color w:val="000000"/>
          <w:kern w:val="2"/>
          <w:sz w:val="32"/>
          <w:szCs w:val="32"/>
          <w:shd w:val="clear" w:color="070000" w:fill="FFFFFF"/>
          <w:lang w:val="en-US" w:eastAsia="zh-CN" w:bidi="ar-SA"/>
        </w:rPr>
        <w:t>一、2015年收入支出总体情况说明</w:t>
      </w:r>
    </w:p>
    <w:p>
      <w:pPr>
        <w:pStyle w:val="2"/>
        <w:keepNext w:val="0"/>
        <w:keepLines w:val="0"/>
        <w:pageBreakBefore w:val="0"/>
        <w:widowControl/>
        <w:kinsoku/>
        <w:wordWrap/>
        <w:overflowPunct/>
        <w:topLinePunct w:val="0"/>
        <w:autoSpaceDE/>
        <w:autoSpaceDN/>
        <w:bidi w:val="0"/>
        <w:adjustRightInd/>
        <w:spacing w:before="0" w:beforeAutospacing="0" w:after="0" w:afterAutospacing="0" w:line="560" w:lineRule="exact"/>
        <w:ind w:left="16" w:right="16"/>
        <w:jc w:val="both"/>
        <w:textAlignment w:val="auto"/>
        <w:rPr>
          <w:rFonts w:hint="eastAsia" w:ascii="仿宋_GB2312" w:hAnsi="Calibri" w:eastAsia="仿宋_GB2312" w:cs="Times New Roman"/>
          <w:color w:val="000000"/>
          <w:spacing w:val="-2"/>
          <w:kern w:val="2"/>
          <w:sz w:val="32"/>
          <w:szCs w:val="32"/>
          <w:lang w:val="en-US" w:eastAsia="zh-CN" w:bidi="ar-SA"/>
        </w:rPr>
      </w:pPr>
      <w:r>
        <w:rPr>
          <w:rFonts w:hint="eastAsia" w:ascii="仿宋_GB2312" w:hAnsi="Calibri" w:eastAsia="仿宋_GB2312" w:cs="Times New Roman"/>
          <w:color w:val="000000"/>
          <w:spacing w:val="-2"/>
          <w:kern w:val="2"/>
          <w:sz w:val="32"/>
          <w:szCs w:val="32"/>
          <w:lang w:val="en-US" w:eastAsia="zh-CN" w:bidi="ar-SA"/>
        </w:rPr>
        <w:t>       2015年度收入总计1792.78万元（当年收入1288.89万元），包括：财政拨款收入1287.35万元，其他收入</w:t>
      </w:r>
      <w:r>
        <w:rPr>
          <w:rFonts w:hint="eastAsia" w:ascii="仿宋_GB2312" w:eastAsia="仿宋_GB2312" w:cs="Times New Roman"/>
          <w:color w:val="000000"/>
          <w:spacing w:val="-2"/>
          <w:kern w:val="2"/>
          <w:sz w:val="32"/>
          <w:szCs w:val="32"/>
          <w:lang w:val="en-US" w:eastAsia="zh-CN" w:bidi="ar-SA"/>
        </w:rPr>
        <w:t>(银行利息)</w:t>
      </w:r>
      <w:r>
        <w:rPr>
          <w:rFonts w:hint="eastAsia" w:ascii="仿宋_GB2312" w:hAnsi="Calibri" w:eastAsia="仿宋_GB2312" w:cs="Times New Roman"/>
          <w:color w:val="000000"/>
          <w:spacing w:val="-2"/>
          <w:kern w:val="2"/>
          <w:sz w:val="32"/>
          <w:szCs w:val="32"/>
          <w:lang w:val="en-US" w:eastAsia="zh-CN" w:bidi="ar-SA"/>
        </w:rPr>
        <w:t>1.54万元，年初结转和结余503.89万元。</w:t>
      </w:r>
    </w:p>
    <w:p>
      <w:pPr>
        <w:pStyle w:val="2"/>
        <w:keepNext w:val="0"/>
        <w:keepLines w:val="0"/>
        <w:pageBreakBefore w:val="0"/>
        <w:widowControl/>
        <w:kinsoku/>
        <w:wordWrap/>
        <w:overflowPunct/>
        <w:topLinePunct w:val="0"/>
        <w:autoSpaceDE/>
        <w:autoSpaceDN/>
        <w:bidi w:val="0"/>
        <w:adjustRightInd/>
        <w:spacing w:before="0" w:beforeAutospacing="0" w:after="0" w:afterAutospacing="0" w:line="560" w:lineRule="exact"/>
        <w:ind w:left="16" w:right="16"/>
        <w:jc w:val="both"/>
        <w:textAlignment w:val="auto"/>
        <w:rPr>
          <w:rFonts w:hint="default" w:ascii="仿宋_GB2312" w:hAnsi="Calibri" w:eastAsia="仿宋_GB2312" w:cs="Times New Roman"/>
          <w:color w:val="000000"/>
          <w:spacing w:val="-2"/>
          <w:kern w:val="2"/>
          <w:sz w:val="32"/>
          <w:szCs w:val="32"/>
          <w:lang w:val="en-US" w:eastAsia="zh-CN" w:bidi="ar-SA"/>
        </w:rPr>
      </w:pPr>
      <w:r>
        <w:rPr>
          <w:rFonts w:hint="eastAsia" w:ascii="仿宋_GB2312" w:hAnsi="Calibri" w:eastAsia="仿宋_GB2312" w:cs="Times New Roman"/>
          <w:color w:val="000000"/>
          <w:spacing w:val="-2"/>
          <w:kern w:val="2"/>
          <w:sz w:val="32"/>
          <w:szCs w:val="32"/>
          <w:lang w:val="en-US" w:eastAsia="zh-CN" w:bidi="ar-SA"/>
        </w:rPr>
        <w:t xml:space="preserve">       2015年度支出总计1792.78万元（当年支出1213.5万元），包括：一般公共服务支出（类）1184.66万元，社会保障和就业支出（类）26.10万元，其他支出（类）2.74万元，年末结转和结余579.28万元。 </w:t>
      </w:r>
    </w:p>
    <w:p>
      <w:pPr>
        <w:pStyle w:val="2"/>
        <w:keepNext w:val="0"/>
        <w:keepLines w:val="0"/>
        <w:pageBreakBefore w:val="0"/>
        <w:widowControl/>
        <w:kinsoku/>
        <w:wordWrap/>
        <w:overflowPunct/>
        <w:topLinePunct w:val="0"/>
        <w:autoSpaceDE/>
        <w:autoSpaceDN/>
        <w:bidi w:val="0"/>
        <w:adjustRightInd/>
        <w:spacing w:before="0" w:beforeAutospacing="0" w:after="0" w:afterAutospacing="0" w:line="560" w:lineRule="exact"/>
        <w:ind w:right="16"/>
        <w:jc w:val="both"/>
        <w:textAlignment w:val="auto"/>
        <w:rPr>
          <w:rFonts w:hint="default" w:ascii="仿宋_GB2312" w:hAnsi="Calibri" w:eastAsia="仿宋_GB2312" w:cs="Times New Roman"/>
          <w:color w:val="000000"/>
          <w:spacing w:val="-2"/>
          <w:kern w:val="2"/>
          <w:sz w:val="32"/>
          <w:szCs w:val="32"/>
          <w:lang w:val="en-US" w:eastAsia="zh-CN" w:bidi="ar-SA"/>
        </w:rPr>
      </w:pPr>
      <w:r>
        <w:rPr>
          <w:rFonts w:hint="eastAsia" w:ascii="仿宋_GB2312" w:hAnsi="Calibri" w:eastAsia="仿宋_GB2312" w:cs="Times New Roman"/>
          <w:color w:val="000000"/>
          <w:spacing w:val="-2"/>
          <w:kern w:val="2"/>
          <w:sz w:val="32"/>
          <w:szCs w:val="32"/>
          <w:lang w:val="en-US" w:eastAsia="zh-CN" w:bidi="ar-SA"/>
        </w:rPr>
        <w:t xml:space="preserve">   </w:t>
      </w:r>
      <w:r>
        <w:rPr>
          <w:rFonts w:hint="default" w:ascii="仿宋_GB2312" w:hAnsi="Calibri" w:eastAsia="仿宋_GB2312" w:cs="Times New Roman"/>
          <w:color w:val="000000"/>
          <w:spacing w:val="-2"/>
          <w:kern w:val="2"/>
          <w:sz w:val="32"/>
          <w:szCs w:val="32"/>
          <w:lang w:val="en-US" w:eastAsia="zh-CN" w:bidi="ar-SA"/>
        </w:rPr>
        <w:t xml:space="preserve">  </w:t>
      </w:r>
      <w:r>
        <w:rPr>
          <w:rStyle w:val="4"/>
          <w:rFonts w:hint="eastAsia" w:ascii="黑体" w:hAnsi="黑体" w:eastAsia="黑体" w:cs="黑体"/>
          <w:b w:val="0"/>
          <w:bCs w:val="0"/>
          <w:color w:val="000000"/>
          <w:kern w:val="2"/>
          <w:sz w:val="32"/>
          <w:szCs w:val="32"/>
          <w:shd w:val="clear" w:color="070000" w:fill="FFFFFF"/>
          <w:lang w:val="en-US" w:eastAsia="zh-CN" w:bidi="ar-SA"/>
        </w:rPr>
        <w:t>二、</w:t>
      </w:r>
      <w:r>
        <w:rPr>
          <w:rStyle w:val="4"/>
          <w:rFonts w:hint="default" w:ascii="黑体" w:hAnsi="黑体" w:eastAsia="黑体" w:cs="黑体"/>
          <w:b w:val="0"/>
          <w:bCs w:val="0"/>
          <w:color w:val="000000"/>
          <w:kern w:val="2"/>
          <w:sz w:val="32"/>
          <w:szCs w:val="32"/>
          <w:shd w:val="clear" w:color="070000" w:fill="FFFFFF"/>
          <w:lang w:val="en-US" w:eastAsia="zh-CN" w:bidi="ar-SA"/>
        </w:rPr>
        <w:t>2015年一般公共预算财政拨款支出情况说明</w:t>
      </w:r>
    </w:p>
    <w:p>
      <w:pPr>
        <w:pStyle w:val="2"/>
        <w:keepNext w:val="0"/>
        <w:keepLines w:val="0"/>
        <w:pageBreakBefore w:val="0"/>
        <w:widowControl/>
        <w:kinsoku/>
        <w:wordWrap/>
        <w:overflowPunct/>
        <w:topLinePunct w:val="0"/>
        <w:autoSpaceDE/>
        <w:autoSpaceDN/>
        <w:bidi w:val="0"/>
        <w:adjustRightInd/>
        <w:spacing w:before="0" w:beforeAutospacing="0" w:after="0" w:afterAutospacing="0" w:line="560" w:lineRule="exact"/>
        <w:ind w:left="16" w:right="16"/>
        <w:jc w:val="both"/>
        <w:textAlignment w:val="auto"/>
        <w:rPr>
          <w:rFonts w:hint="default" w:ascii="仿宋_GB2312" w:hAnsi="Calibri" w:eastAsia="仿宋_GB2312" w:cs="Times New Roman"/>
          <w:color w:val="000000"/>
          <w:spacing w:val="-2"/>
          <w:kern w:val="2"/>
          <w:sz w:val="32"/>
          <w:szCs w:val="32"/>
          <w:lang w:val="en-US" w:eastAsia="zh-CN" w:bidi="ar-SA"/>
        </w:rPr>
      </w:pPr>
      <w:r>
        <w:rPr>
          <w:rFonts w:hint="eastAsia" w:ascii="仿宋_GB2312" w:hAnsi="Calibri" w:eastAsia="仿宋_GB2312" w:cs="Times New Roman"/>
          <w:color w:val="000000"/>
          <w:spacing w:val="-2"/>
          <w:kern w:val="2"/>
          <w:sz w:val="32"/>
          <w:szCs w:val="32"/>
          <w:lang w:val="en-US" w:eastAsia="zh-CN" w:bidi="ar-SA"/>
        </w:rPr>
        <w:t>       2015年一般公共预算财政拨款支出1213.5万元，支出具体情况如下：</w:t>
      </w:r>
    </w:p>
    <w:p>
      <w:pPr>
        <w:pStyle w:val="2"/>
        <w:keepNext w:val="0"/>
        <w:keepLines w:val="0"/>
        <w:pageBreakBefore w:val="0"/>
        <w:widowControl/>
        <w:kinsoku/>
        <w:wordWrap/>
        <w:overflowPunct/>
        <w:topLinePunct w:val="0"/>
        <w:autoSpaceDE/>
        <w:autoSpaceDN/>
        <w:bidi w:val="0"/>
        <w:adjustRightInd/>
        <w:spacing w:before="0" w:beforeAutospacing="0" w:after="0" w:afterAutospacing="0" w:line="560" w:lineRule="exact"/>
        <w:ind w:left="16" w:right="16"/>
        <w:jc w:val="both"/>
        <w:textAlignment w:val="auto"/>
        <w:rPr>
          <w:rFonts w:hint="default" w:ascii="仿宋_GB2312" w:hAnsi="Calibri" w:eastAsia="仿宋_GB2312" w:cs="Times New Roman"/>
          <w:color w:val="000000"/>
          <w:spacing w:val="-2"/>
          <w:kern w:val="2"/>
          <w:sz w:val="32"/>
          <w:szCs w:val="32"/>
          <w:lang w:val="en-US" w:eastAsia="zh-CN" w:bidi="ar-SA"/>
        </w:rPr>
      </w:pPr>
      <w:r>
        <w:rPr>
          <w:rFonts w:hint="eastAsia" w:ascii="仿宋_GB2312" w:hAnsi="Calibri" w:eastAsia="仿宋_GB2312" w:cs="Times New Roman"/>
          <w:color w:val="000000"/>
          <w:spacing w:val="-2"/>
          <w:kern w:val="2"/>
          <w:sz w:val="32"/>
          <w:szCs w:val="32"/>
          <w:lang w:val="en-US" w:eastAsia="zh-CN" w:bidi="ar-SA"/>
        </w:rPr>
        <w:t xml:space="preserve">       </w:t>
      </w:r>
      <w:r>
        <w:rPr>
          <w:rFonts w:hint="eastAsia" w:ascii="仿宋_GB2312" w:hAnsi="Calibri" w:eastAsia="仿宋_GB2312" w:cs="Times New Roman"/>
          <w:b/>
          <w:bCs/>
          <w:color w:val="000000"/>
          <w:spacing w:val="-2"/>
          <w:kern w:val="2"/>
          <w:sz w:val="32"/>
          <w:szCs w:val="32"/>
          <w:lang w:val="en-US" w:eastAsia="zh-CN" w:bidi="ar-SA"/>
        </w:rPr>
        <w:t>一般公共服务支出（类）人力资源事务（款）</w:t>
      </w:r>
      <w:r>
        <w:rPr>
          <w:rFonts w:hint="eastAsia" w:ascii="仿宋_GB2312" w:hAnsi="Calibri" w:eastAsia="仿宋_GB2312" w:cs="Times New Roman"/>
          <w:color w:val="000000"/>
          <w:spacing w:val="-2"/>
          <w:kern w:val="2"/>
          <w:sz w:val="32"/>
          <w:szCs w:val="32"/>
          <w:lang w:val="en-US" w:eastAsia="zh-CN" w:bidi="ar-SA"/>
        </w:rPr>
        <w:t>财政拨款支出1184.66万元，其中：行政运行（项）财政拨款支出415.34万元，比2015年预算增加64.34万元，增</w:t>
      </w:r>
      <w:r>
        <w:rPr>
          <w:rFonts w:hint="eastAsia" w:ascii="仿宋_GB2312" w:eastAsia="仿宋_GB2312" w:cs="Times New Roman"/>
          <w:color w:val="000000"/>
          <w:spacing w:val="-2"/>
          <w:kern w:val="2"/>
          <w:sz w:val="32"/>
          <w:szCs w:val="32"/>
          <w:lang w:val="en-US" w:eastAsia="zh-CN" w:bidi="ar-SA"/>
        </w:rPr>
        <w:t>长</w:t>
      </w:r>
      <w:r>
        <w:rPr>
          <w:rFonts w:hint="eastAsia" w:ascii="仿宋_GB2312" w:hAnsi="Calibri" w:eastAsia="仿宋_GB2312" w:cs="Times New Roman"/>
          <w:color w:val="000000"/>
          <w:spacing w:val="-2"/>
          <w:kern w:val="2"/>
          <w:sz w:val="32"/>
          <w:szCs w:val="32"/>
          <w:lang w:val="en-US" w:eastAsia="zh-CN" w:bidi="ar-SA"/>
        </w:rPr>
        <w:t>18.33%，主要原因是落实在职调资经费和津补贴经费，支出主要用于单位人员工资、津补贴及日常公用。</w:t>
      </w:r>
    </w:p>
    <w:p>
      <w:pPr>
        <w:pStyle w:val="2"/>
        <w:keepNext w:val="0"/>
        <w:keepLines w:val="0"/>
        <w:pageBreakBefore w:val="0"/>
        <w:widowControl/>
        <w:kinsoku/>
        <w:wordWrap/>
        <w:overflowPunct/>
        <w:topLinePunct w:val="0"/>
        <w:autoSpaceDE/>
        <w:autoSpaceDN/>
        <w:bidi w:val="0"/>
        <w:adjustRightInd/>
        <w:spacing w:before="0" w:beforeAutospacing="0" w:after="0" w:afterAutospacing="0" w:line="560" w:lineRule="exact"/>
        <w:ind w:left="16" w:right="16"/>
        <w:jc w:val="both"/>
        <w:textAlignment w:val="auto"/>
        <w:rPr>
          <w:rFonts w:hint="eastAsia" w:ascii="仿宋_GB2312" w:hAnsi="Calibri" w:eastAsia="仿宋_GB2312" w:cs="Times New Roman"/>
          <w:color w:val="000000"/>
          <w:spacing w:val="-2"/>
          <w:kern w:val="2"/>
          <w:sz w:val="32"/>
          <w:szCs w:val="32"/>
          <w:lang w:val="en-US" w:eastAsia="zh-CN" w:bidi="ar-SA"/>
        </w:rPr>
      </w:pPr>
      <w:r>
        <w:rPr>
          <w:rFonts w:hint="eastAsia" w:ascii="仿宋_GB2312" w:hAnsi="Calibri" w:eastAsia="仿宋_GB2312" w:cs="Times New Roman"/>
          <w:color w:val="000000"/>
          <w:spacing w:val="-2"/>
          <w:kern w:val="2"/>
          <w:sz w:val="32"/>
          <w:szCs w:val="32"/>
          <w:lang w:val="en-US" w:eastAsia="zh-CN" w:bidi="ar-SA"/>
        </w:rPr>
        <w:t>      </w:t>
      </w:r>
      <w:r>
        <w:rPr>
          <w:rFonts w:hint="eastAsia" w:ascii="仿宋_GB2312" w:hAnsi="Calibri" w:eastAsia="仿宋_GB2312" w:cs="Times New Roman"/>
          <w:b/>
          <w:bCs/>
          <w:color w:val="000000"/>
          <w:spacing w:val="-2"/>
          <w:kern w:val="2"/>
          <w:sz w:val="32"/>
          <w:szCs w:val="32"/>
          <w:lang w:val="en-US" w:eastAsia="zh-CN" w:bidi="ar-SA"/>
        </w:rPr>
        <w:t xml:space="preserve"> 一般行政管理事务（项）</w:t>
      </w:r>
      <w:r>
        <w:rPr>
          <w:rFonts w:hint="eastAsia" w:ascii="仿宋_GB2312" w:hAnsi="Calibri" w:eastAsia="仿宋_GB2312" w:cs="Times New Roman"/>
          <w:color w:val="000000"/>
          <w:spacing w:val="-2"/>
          <w:kern w:val="2"/>
          <w:sz w:val="32"/>
          <w:szCs w:val="32"/>
          <w:lang w:val="en-US" w:eastAsia="zh-CN" w:bidi="ar-SA"/>
        </w:rPr>
        <w:t>财政拨款支出224.23万元，为上年结转和结余支出，主要用于垫支省引进领军人才评审等支出。</w:t>
      </w:r>
    </w:p>
    <w:p>
      <w:pPr>
        <w:pStyle w:val="2"/>
        <w:keepNext w:val="0"/>
        <w:keepLines w:val="0"/>
        <w:pageBreakBefore w:val="0"/>
        <w:widowControl/>
        <w:kinsoku/>
        <w:wordWrap/>
        <w:overflowPunct/>
        <w:topLinePunct w:val="0"/>
        <w:autoSpaceDE/>
        <w:autoSpaceDN/>
        <w:bidi w:val="0"/>
        <w:adjustRightInd/>
        <w:spacing w:before="0" w:beforeAutospacing="0" w:after="0" w:afterAutospacing="0" w:line="560" w:lineRule="exact"/>
        <w:ind w:left="16" w:right="16"/>
        <w:jc w:val="both"/>
        <w:textAlignment w:val="auto"/>
        <w:rPr>
          <w:rFonts w:hint="default" w:ascii="仿宋_GB2312" w:hAnsi="Calibri" w:eastAsia="仿宋_GB2312" w:cs="Times New Roman"/>
          <w:color w:val="000000"/>
          <w:spacing w:val="-2"/>
          <w:kern w:val="2"/>
          <w:sz w:val="32"/>
          <w:szCs w:val="32"/>
          <w:lang w:val="en-US" w:eastAsia="zh-CN" w:bidi="ar-SA"/>
        </w:rPr>
      </w:pPr>
      <w:r>
        <w:rPr>
          <w:rFonts w:hint="eastAsia" w:ascii="仿宋_GB2312" w:hAnsi="Calibri" w:eastAsia="仿宋_GB2312" w:cs="Times New Roman"/>
          <w:color w:val="000000"/>
          <w:spacing w:val="-2"/>
          <w:kern w:val="2"/>
          <w:sz w:val="32"/>
          <w:szCs w:val="32"/>
          <w:lang w:val="en-US" w:eastAsia="zh-CN" w:bidi="ar-SA"/>
        </w:rPr>
        <w:t xml:space="preserve">       </w:t>
      </w:r>
      <w:r>
        <w:rPr>
          <w:rFonts w:hint="eastAsia" w:ascii="仿宋_GB2312" w:hAnsi="Calibri" w:eastAsia="仿宋_GB2312" w:cs="Times New Roman"/>
          <w:b/>
          <w:bCs/>
          <w:color w:val="000000"/>
          <w:spacing w:val="-2"/>
          <w:kern w:val="2"/>
          <w:sz w:val="32"/>
          <w:szCs w:val="32"/>
          <w:lang w:val="en-US" w:eastAsia="zh-CN" w:bidi="ar-SA"/>
        </w:rPr>
        <w:t>引进人才费用（项）</w:t>
      </w:r>
      <w:r>
        <w:rPr>
          <w:rFonts w:hint="eastAsia" w:ascii="仿宋_GB2312" w:hAnsi="Calibri" w:eastAsia="仿宋_GB2312" w:cs="Times New Roman"/>
          <w:color w:val="000000"/>
          <w:spacing w:val="-2"/>
          <w:kern w:val="2"/>
          <w:sz w:val="32"/>
          <w:szCs w:val="32"/>
          <w:lang w:val="en-US" w:eastAsia="zh-CN" w:bidi="ar-SA"/>
        </w:rPr>
        <w:t>财政拨款支出545.09万元，比2015年预算增加70.09万元，增</w:t>
      </w:r>
      <w:r>
        <w:rPr>
          <w:rFonts w:hint="eastAsia" w:ascii="仿宋_GB2312" w:eastAsia="仿宋_GB2312" w:cs="Times New Roman"/>
          <w:color w:val="000000"/>
          <w:spacing w:val="-2"/>
          <w:kern w:val="2"/>
          <w:sz w:val="32"/>
          <w:szCs w:val="32"/>
          <w:lang w:val="en-US" w:eastAsia="zh-CN" w:bidi="ar-SA"/>
        </w:rPr>
        <w:t>长</w:t>
      </w:r>
      <w:r>
        <w:rPr>
          <w:rFonts w:hint="eastAsia" w:ascii="仿宋_GB2312" w:hAnsi="Calibri" w:eastAsia="仿宋_GB2312" w:cs="Times New Roman"/>
          <w:color w:val="000000"/>
          <w:spacing w:val="-2"/>
          <w:kern w:val="2"/>
          <w:sz w:val="32"/>
          <w:szCs w:val="32"/>
          <w:lang w:val="en-US" w:eastAsia="zh-CN" w:bidi="ar-SA"/>
        </w:rPr>
        <w:t>14.76%，主要用于出国招聘、海外专家南粤行及省引才引智项目支出，其中部分项目经费跨年执行。</w:t>
      </w:r>
    </w:p>
    <w:p>
      <w:pPr>
        <w:pStyle w:val="2"/>
        <w:keepNext w:val="0"/>
        <w:keepLines w:val="0"/>
        <w:pageBreakBefore w:val="0"/>
        <w:widowControl/>
        <w:kinsoku/>
        <w:wordWrap/>
        <w:overflowPunct/>
        <w:topLinePunct w:val="0"/>
        <w:autoSpaceDE/>
        <w:autoSpaceDN/>
        <w:bidi w:val="0"/>
        <w:adjustRightInd/>
        <w:spacing w:before="0" w:beforeAutospacing="0" w:after="0" w:afterAutospacing="0" w:line="560" w:lineRule="exact"/>
        <w:ind w:left="16" w:right="16"/>
        <w:jc w:val="both"/>
        <w:textAlignment w:val="auto"/>
        <w:rPr>
          <w:rFonts w:hint="default" w:ascii="仿宋_GB2312" w:hAnsi="Calibri" w:eastAsia="仿宋_GB2312" w:cs="Times New Roman"/>
          <w:color w:val="000000"/>
          <w:spacing w:val="-2"/>
          <w:kern w:val="2"/>
          <w:sz w:val="32"/>
          <w:szCs w:val="32"/>
          <w:lang w:val="en-US" w:eastAsia="zh-CN" w:bidi="ar-SA"/>
        </w:rPr>
      </w:pPr>
      <w:r>
        <w:rPr>
          <w:rFonts w:hint="eastAsia" w:ascii="仿宋_GB2312" w:hAnsi="Calibri" w:eastAsia="仿宋_GB2312" w:cs="Times New Roman"/>
          <w:color w:val="000000"/>
          <w:spacing w:val="-2"/>
          <w:kern w:val="2"/>
          <w:sz w:val="32"/>
          <w:szCs w:val="32"/>
          <w:lang w:val="en-US" w:eastAsia="zh-CN" w:bidi="ar-SA"/>
        </w:rPr>
        <w:t xml:space="preserve">       </w:t>
      </w:r>
      <w:r>
        <w:rPr>
          <w:rFonts w:hint="eastAsia" w:ascii="仿宋_GB2312" w:hAnsi="Calibri" w:eastAsia="仿宋_GB2312" w:cs="Times New Roman"/>
          <w:b/>
          <w:bCs/>
          <w:color w:val="000000"/>
          <w:spacing w:val="-2"/>
          <w:kern w:val="2"/>
          <w:sz w:val="32"/>
          <w:szCs w:val="32"/>
          <w:lang w:val="en-US" w:eastAsia="zh-CN" w:bidi="ar-SA"/>
        </w:rPr>
        <w:t>社会保障和就业支出（类）行政事业单位离退休（款）</w:t>
      </w:r>
      <w:r>
        <w:rPr>
          <w:rFonts w:hint="eastAsia" w:ascii="仿宋_GB2312" w:hAnsi="Calibri" w:eastAsia="仿宋_GB2312" w:cs="Times New Roman"/>
          <w:color w:val="000000"/>
          <w:spacing w:val="-2"/>
          <w:kern w:val="2"/>
          <w:sz w:val="32"/>
          <w:szCs w:val="32"/>
          <w:lang w:val="en-US" w:eastAsia="zh-CN" w:bidi="ar-SA"/>
        </w:rPr>
        <w:t>财政拨款支出26.1万元，其中：归口管理的行政单位离退休（项）财政拨款支出24.75万元，</w:t>
      </w:r>
      <w:r>
        <w:rPr>
          <w:rFonts w:hint="eastAsia" w:ascii="仿宋_GB2312" w:eastAsia="仿宋_GB2312" w:cs="Times New Roman"/>
          <w:color w:val="000000"/>
          <w:spacing w:val="-2"/>
          <w:kern w:val="2"/>
          <w:sz w:val="32"/>
          <w:szCs w:val="32"/>
          <w:lang w:val="en-US" w:eastAsia="zh-CN" w:bidi="ar-SA"/>
        </w:rPr>
        <w:t>比</w:t>
      </w:r>
      <w:r>
        <w:rPr>
          <w:rFonts w:hint="eastAsia" w:ascii="仿宋_GB2312" w:hAnsi="Calibri" w:eastAsia="仿宋_GB2312" w:cs="Times New Roman"/>
          <w:color w:val="000000"/>
          <w:spacing w:val="-2"/>
          <w:kern w:val="2"/>
          <w:sz w:val="32"/>
          <w:szCs w:val="32"/>
          <w:lang w:val="en-US" w:eastAsia="zh-CN" w:bidi="ar-SA"/>
        </w:rPr>
        <w:t>2015年预算增加15.2万元，增</w:t>
      </w:r>
      <w:r>
        <w:rPr>
          <w:rFonts w:hint="eastAsia" w:ascii="仿宋_GB2312" w:eastAsia="仿宋_GB2312" w:cs="Times New Roman"/>
          <w:color w:val="000000"/>
          <w:spacing w:val="-2"/>
          <w:kern w:val="2"/>
          <w:sz w:val="32"/>
          <w:szCs w:val="32"/>
          <w:lang w:val="en-US" w:eastAsia="zh-CN" w:bidi="ar-SA"/>
        </w:rPr>
        <w:t>长</w:t>
      </w:r>
      <w:r>
        <w:rPr>
          <w:rFonts w:hint="eastAsia" w:ascii="仿宋_GB2312" w:hAnsi="Calibri" w:eastAsia="仿宋_GB2312" w:cs="Times New Roman"/>
          <w:color w:val="000000"/>
          <w:spacing w:val="-2"/>
          <w:kern w:val="2"/>
          <w:sz w:val="32"/>
          <w:szCs w:val="32"/>
          <w:lang w:val="en-US" w:eastAsia="zh-CN" w:bidi="ar-SA"/>
        </w:rPr>
        <w:t>159.16%。主要是用于离退休人员的工资、津补贴支出。</w:t>
      </w:r>
    </w:p>
    <w:p>
      <w:pPr>
        <w:pStyle w:val="2"/>
        <w:keepNext w:val="0"/>
        <w:keepLines w:val="0"/>
        <w:pageBreakBefore w:val="0"/>
        <w:widowControl/>
        <w:kinsoku/>
        <w:wordWrap/>
        <w:overflowPunct/>
        <w:topLinePunct w:val="0"/>
        <w:autoSpaceDE/>
        <w:autoSpaceDN/>
        <w:bidi w:val="0"/>
        <w:adjustRightInd/>
        <w:spacing w:before="0" w:beforeAutospacing="0" w:after="0" w:afterAutospacing="0" w:line="560" w:lineRule="exact"/>
        <w:ind w:left="16" w:right="16"/>
        <w:jc w:val="both"/>
        <w:textAlignment w:val="auto"/>
        <w:rPr>
          <w:rFonts w:hint="default" w:ascii="仿宋_GB2312" w:hAnsi="Calibri" w:eastAsia="仿宋_GB2312" w:cs="Times New Roman"/>
          <w:color w:val="000000"/>
          <w:spacing w:val="-2"/>
          <w:kern w:val="2"/>
          <w:sz w:val="32"/>
          <w:szCs w:val="32"/>
          <w:lang w:val="en-US" w:eastAsia="zh-CN" w:bidi="ar-SA"/>
        </w:rPr>
      </w:pPr>
      <w:r>
        <w:rPr>
          <w:rFonts w:hint="eastAsia" w:ascii="仿宋_GB2312" w:hAnsi="Calibri" w:eastAsia="仿宋_GB2312" w:cs="Times New Roman"/>
          <w:color w:val="000000"/>
          <w:spacing w:val="-2"/>
          <w:kern w:val="2"/>
          <w:sz w:val="32"/>
          <w:szCs w:val="32"/>
          <w:lang w:val="en-US" w:eastAsia="zh-CN" w:bidi="ar-SA"/>
        </w:rPr>
        <w:t xml:space="preserve">       </w:t>
      </w:r>
      <w:r>
        <w:rPr>
          <w:rFonts w:hint="eastAsia" w:ascii="仿宋_GB2312" w:hAnsi="Calibri" w:eastAsia="仿宋_GB2312" w:cs="Times New Roman"/>
          <w:b/>
          <w:bCs/>
          <w:color w:val="000000"/>
          <w:spacing w:val="-2"/>
          <w:kern w:val="2"/>
          <w:sz w:val="32"/>
          <w:szCs w:val="32"/>
          <w:lang w:val="en-US" w:eastAsia="zh-CN" w:bidi="ar-SA"/>
        </w:rPr>
        <w:t>其他行政事业单位离退休支出（项）</w:t>
      </w:r>
      <w:r>
        <w:rPr>
          <w:rFonts w:hint="eastAsia" w:ascii="仿宋_GB2312" w:hAnsi="Calibri" w:eastAsia="仿宋_GB2312" w:cs="Times New Roman"/>
          <w:color w:val="000000"/>
          <w:spacing w:val="-2"/>
          <w:kern w:val="2"/>
          <w:sz w:val="32"/>
          <w:szCs w:val="32"/>
          <w:lang w:val="en-US" w:eastAsia="zh-CN" w:bidi="ar-SA"/>
        </w:rPr>
        <w:t>财政拨款支出1.35万元，比2015年预算增加1.35万元。主要是用于</w:t>
      </w:r>
      <w:r>
        <w:rPr>
          <w:rFonts w:hint="eastAsia" w:ascii="仿宋_GB2312" w:eastAsia="仿宋_GB2312" w:cs="Times New Roman"/>
          <w:color w:val="000000"/>
          <w:spacing w:val="-2"/>
          <w:kern w:val="2"/>
          <w:sz w:val="32"/>
          <w:szCs w:val="32"/>
          <w:lang w:val="en-US" w:eastAsia="zh-CN" w:bidi="ar-SA"/>
        </w:rPr>
        <w:t>保障</w:t>
      </w:r>
      <w:r>
        <w:rPr>
          <w:rFonts w:hint="eastAsia" w:ascii="仿宋_GB2312" w:hAnsi="Calibri" w:eastAsia="仿宋_GB2312" w:cs="Times New Roman"/>
          <w:color w:val="000000"/>
          <w:spacing w:val="-2"/>
          <w:kern w:val="2"/>
          <w:sz w:val="32"/>
          <w:szCs w:val="32"/>
          <w:lang w:val="en-US" w:eastAsia="zh-CN" w:bidi="ar-SA"/>
        </w:rPr>
        <w:t>离退休人员的工资、津补贴支出。</w:t>
      </w:r>
    </w:p>
    <w:p>
      <w:pPr>
        <w:pStyle w:val="2"/>
        <w:keepNext w:val="0"/>
        <w:keepLines w:val="0"/>
        <w:pageBreakBefore w:val="0"/>
        <w:widowControl/>
        <w:kinsoku/>
        <w:wordWrap/>
        <w:overflowPunct/>
        <w:topLinePunct w:val="0"/>
        <w:autoSpaceDE/>
        <w:autoSpaceDN/>
        <w:bidi w:val="0"/>
        <w:adjustRightInd/>
        <w:spacing w:before="0" w:beforeAutospacing="0" w:after="0" w:afterAutospacing="0" w:line="560" w:lineRule="exact"/>
        <w:ind w:left="16" w:right="16"/>
        <w:jc w:val="both"/>
        <w:textAlignment w:val="auto"/>
        <w:rPr>
          <w:rFonts w:hint="eastAsia" w:ascii="仿宋_GB2312" w:hAnsi="Calibri" w:eastAsia="仿宋_GB2312" w:cs="Times New Roman"/>
          <w:color w:val="000000"/>
          <w:spacing w:val="-2"/>
          <w:kern w:val="2"/>
          <w:sz w:val="32"/>
          <w:szCs w:val="32"/>
          <w:lang w:val="en-US" w:eastAsia="zh-CN" w:bidi="ar-SA"/>
        </w:rPr>
      </w:pPr>
      <w:r>
        <w:rPr>
          <w:rFonts w:hint="eastAsia" w:ascii="仿宋_GB2312" w:hAnsi="Calibri" w:eastAsia="仿宋_GB2312" w:cs="Times New Roman"/>
          <w:color w:val="000000"/>
          <w:spacing w:val="-2"/>
          <w:kern w:val="2"/>
          <w:sz w:val="32"/>
          <w:szCs w:val="32"/>
          <w:lang w:val="en-US" w:eastAsia="zh-CN" w:bidi="ar-SA"/>
        </w:rPr>
        <w:t xml:space="preserve">    </w:t>
      </w:r>
      <w:r>
        <w:rPr>
          <w:rFonts w:hint="eastAsia" w:ascii="仿宋_GB2312" w:hAnsi="Calibri" w:eastAsia="仿宋_GB2312" w:cs="Times New Roman"/>
          <w:b/>
          <w:bCs/>
          <w:color w:val="000000"/>
          <w:spacing w:val="-2"/>
          <w:kern w:val="2"/>
          <w:sz w:val="32"/>
          <w:szCs w:val="32"/>
          <w:lang w:val="en-US" w:eastAsia="zh-CN" w:bidi="ar-SA"/>
        </w:rPr>
        <w:t>其他支出（类）其他支出（款）其他支出（项）</w:t>
      </w:r>
      <w:r>
        <w:rPr>
          <w:rFonts w:hint="eastAsia" w:ascii="仿宋_GB2312" w:hAnsi="Calibri" w:eastAsia="仿宋_GB2312" w:cs="Times New Roman"/>
          <w:color w:val="000000"/>
          <w:spacing w:val="-2"/>
          <w:kern w:val="2"/>
          <w:sz w:val="32"/>
          <w:szCs w:val="32"/>
          <w:lang w:val="en-US" w:eastAsia="zh-CN" w:bidi="ar-SA"/>
        </w:rPr>
        <w:t>财政拨款支出2.74万元，为上年结转和结余支出，主要用于办公场地粤财大厦的物业管理费支出。</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150"/>
        <w:jc w:val="both"/>
        <w:textAlignment w:val="auto"/>
        <w:rPr>
          <w:rFonts w:hint="default" w:ascii="仿宋_GB2312" w:hAnsi="Calibri" w:eastAsia="仿宋_GB2312" w:cs="Times New Roman"/>
          <w:color w:val="000000"/>
          <w:spacing w:val="-2"/>
          <w:kern w:val="2"/>
          <w:sz w:val="32"/>
          <w:szCs w:val="32"/>
          <w:lang w:val="en-US" w:eastAsia="zh-CN" w:bidi="ar-SA"/>
        </w:rPr>
      </w:pPr>
      <w:r>
        <w:rPr>
          <w:rFonts w:hint="eastAsia" w:ascii="仿宋_GB2312" w:hAnsi="Calibri" w:eastAsia="仿宋_GB2312" w:cs="Times New Roman"/>
          <w:color w:val="000000"/>
          <w:spacing w:val="-2"/>
          <w:kern w:val="2"/>
          <w:sz w:val="32"/>
          <w:szCs w:val="32"/>
          <w:lang w:val="en-US" w:eastAsia="zh-CN" w:bidi="ar-SA"/>
        </w:rPr>
        <w:t xml:space="preserve">    </w:t>
      </w:r>
      <w:r>
        <w:rPr>
          <w:rStyle w:val="4"/>
          <w:rFonts w:hint="eastAsia" w:ascii="黑体" w:hAnsi="黑体" w:eastAsia="黑体" w:cs="黑体"/>
          <w:b w:val="0"/>
          <w:bCs w:val="0"/>
          <w:color w:val="000000"/>
          <w:kern w:val="2"/>
          <w:sz w:val="32"/>
          <w:szCs w:val="32"/>
          <w:shd w:val="clear" w:color="070000" w:fill="FFFFFF"/>
          <w:lang w:val="en-US" w:eastAsia="zh-CN" w:bidi="ar-SA"/>
        </w:rPr>
        <w:t>三、2015年一般公共预算财政拨款“三公”经费支出情况说明</w:t>
      </w:r>
    </w:p>
    <w:p>
      <w:pPr>
        <w:pStyle w:val="2"/>
        <w:keepNext w:val="0"/>
        <w:keepLines w:val="0"/>
        <w:pageBreakBefore w:val="0"/>
        <w:widowControl/>
        <w:kinsoku/>
        <w:wordWrap/>
        <w:overflowPunct/>
        <w:topLinePunct w:val="0"/>
        <w:autoSpaceDE/>
        <w:autoSpaceDN/>
        <w:bidi w:val="0"/>
        <w:adjustRightInd/>
        <w:spacing w:before="0" w:beforeAutospacing="0" w:after="0" w:afterAutospacing="0" w:line="560" w:lineRule="exact"/>
        <w:ind w:left="16" w:right="16"/>
        <w:jc w:val="both"/>
        <w:textAlignment w:val="auto"/>
        <w:rPr>
          <w:rFonts w:hint="default" w:ascii="仿宋_GB2312" w:hAnsi="Calibri" w:eastAsia="仿宋_GB2312" w:cs="Times New Roman"/>
          <w:color w:val="000000"/>
          <w:spacing w:val="-2"/>
          <w:kern w:val="2"/>
          <w:sz w:val="32"/>
          <w:szCs w:val="32"/>
          <w:lang w:val="en-US" w:eastAsia="zh-CN" w:bidi="ar-SA"/>
        </w:rPr>
      </w:pPr>
      <w:r>
        <w:rPr>
          <w:rFonts w:hint="eastAsia" w:ascii="仿宋_GB2312" w:hAnsi="Calibri" w:eastAsia="仿宋_GB2312" w:cs="Times New Roman"/>
          <w:color w:val="000000"/>
          <w:spacing w:val="-2"/>
          <w:kern w:val="2"/>
          <w:sz w:val="32"/>
          <w:szCs w:val="32"/>
          <w:lang w:val="en-US" w:eastAsia="zh-CN" w:bidi="ar-SA"/>
        </w:rPr>
        <w:t xml:space="preserve">       </w:t>
      </w:r>
      <w:r>
        <w:rPr>
          <w:rFonts w:hint="eastAsia" w:ascii="楷体" w:hAnsi="楷体" w:eastAsia="楷体" w:cs="楷体"/>
          <w:color w:val="000000"/>
          <w:spacing w:val="-2"/>
          <w:kern w:val="2"/>
          <w:sz w:val="32"/>
          <w:szCs w:val="32"/>
          <w:lang w:val="en-US" w:eastAsia="zh-CN" w:bidi="ar-SA"/>
        </w:rPr>
        <w:t>（一）“三公”经费财政拨款支出总体情况说明</w:t>
      </w:r>
    </w:p>
    <w:p>
      <w:pPr>
        <w:keepNext w:val="0"/>
        <w:keepLines w:val="0"/>
        <w:widowControl/>
        <w:suppressLineNumbers w:val="0"/>
        <w:jc w:val="left"/>
        <w:rPr>
          <w:rFonts w:hint="eastAsia" w:ascii="仿宋_GB2312" w:hAnsi="Calibri" w:eastAsia="仿宋_GB2312" w:cs="Times New Roman"/>
          <w:color w:val="000000"/>
          <w:spacing w:val="-2"/>
          <w:kern w:val="2"/>
          <w:sz w:val="32"/>
          <w:szCs w:val="32"/>
          <w:lang w:val="en-US" w:eastAsia="zh-CN" w:bidi="ar-SA"/>
        </w:rPr>
      </w:pPr>
      <w:r>
        <w:rPr>
          <w:rFonts w:hint="eastAsia" w:ascii="仿宋_GB2312" w:hAnsi="Calibri" w:eastAsia="仿宋_GB2312" w:cs="Times New Roman"/>
          <w:color w:val="000000"/>
          <w:spacing w:val="-2"/>
          <w:kern w:val="2"/>
          <w:sz w:val="32"/>
          <w:szCs w:val="32"/>
          <w:lang w:val="en-US" w:eastAsia="zh-CN" w:bidi="ar-SA"/>
        </w:rPr>
        <w:t> </w:t>
      </w:r>
      <w:r>
        <w:rPr>
          <w:rFonts w:hint="eastAsia" w:ascii="仿宋_GB2312" w:eastAsia="仿宋_GB2312" w:cs="Times New Roman"/>
          <w:color w:val="000000"/>
          <w:spacing w:val="-2"/>
          <w:kern w:val="2"/>
          <w:sz w:val="32"/>
          <w:szCs w:val="32"/>
          <w:lang w:val="en-US" w:eastAsia="zh-CN" w:bidi="ar-SA"/>
        </w:rPr>
        <w:t xml:space="preserve">    </w:t>
      </w:r>
      <w:r>
        <w:rPr>
          <w:rFonts w:hint="eastAsia" w:ascii="仿宋_GB2312" w:hAnsi="仿宋_GB2312" w:eastAsia="仿宋_GB2312" w:cs="仿宋_GB2312"/>
          <w:kern w:val="0"/>
          <w:sz w:val="32"/>
          <w:szCs w:val="32"/>
          <w:lang w:val="en-US" w:eastAsia="zh-CN" w:bidi="ar"/>
        </w:rPr>
        <w:t xml:space="preserve">2015年度“三公”经费财政拨款支出预算为77万，决算为30.63万元，与预算相比减少60%。 </w:t>
      </w:r>
      <w:r>
        <w:rPr>
          <w:rFonts w:hint="eastAsia" w:ascii="仿宋_GB2312" w:hAnsi="Calibri" w:eastAsia="仿宋_GB2312" w:cs="Times New Roman"/>
          <w:color w:val="000000"/>
          <w:spacing w:val="-2"/>
          <w:kern w:val="2"/>
          <w:sz w:val="32"/>
          <w:szCs w:val="32"/>
          <w:lang w:val="en-US" w:eastAsia="zh-CN" w:bidi="ar-SA"/>
        </w:rPr>
        <w:t>其中：因公出国（境）费支出决算9.93万元，占</w:t>
      </w:r>
      <w:r>
        <w:rPr>
          <w:rFonts w:hint="eastAsia" w:ascii="仿宋_GB2312" w:eastAsia="仿宋_GB2312" w:cs="Times New Roman"/>
          <w:color w:val="000000"/>
          <w:spacing w:val="-2"/>
          <w:kern w:val="2"/>
          <w:sz w:val="32"/>
          <w:szCs w:val="32"/>
          <w:lang w:val="en-US" w:eastAsia="zh-CN" w:bidi="ar-SA"/>
        </w:rPr>
        <w:t>32.42</w:t>
      </w:r>
      <w:r>
        <w:rPr>
          <w:rFonts w:hint="eastAsia" w:ascii="仿宋_GB2312" w:hAnsi="Calibri" w:eastAsia="仿宋_GB2312" w:cs="Times New Roman"/>
          <w:color w:val="000000"/>
          <w:spacing w:val="-2"/>
          <w:kern w:val="2"/>
          <w:sz w:val="32"/>
          <w:szCs w:val="32"/>
          <w:lang w:val="en-US" w:eastAsia="zh-CN" w:bidi="ar-SA"/>
        </w:rPr>
        <w:t>%；公务用车购置及运行费支出决算1</w:t>
      </w:r>
      <w:r>
        <w:rPr>
          <w:rFonts w:hint="eastAsia" w:ascii="仿宋_GB2312" w:eastAsia="仿宋_GB2312" w:cs="Times New Roman"/>
          <w:color w:val="000000"/>
          <w:spacing w:val="-2"/>
          <w:kern w:val="2"/>
          <w:sz w:val="32"/>
          <w:szCs w:val="32"/>
          <w:lang w:val="en-US" w:eastAsia="zh-CN" w:bidi="ar-SA"/>
        </w:rPr>
        <w:t>7.42</w:t>
      </w:r>
      <w:r>
        <w:rPr>
          <w:rFonts w:hint="eastAsia" w:ascii="仿宋_GB2312" w:hAnsi="Calibri" w:eastAsia="仿宋_GB2312" w:cs="Times New Roman"/>
          <w:color w:val="000000"/>
          <w:spacing w:val="-2"/>
          <w:kern w:val="2"/>
          <w:sz w:val="32"/>
          <w:szCs w:val="32"/>
          <w:lang w:val="en-US" w:eastAsia="zh-CN" w:bidi="ar-SA"/>
        </w:rPr>
        <w:t>万元，占</w:t>
      </w:r>
      <w:r>
        <w:rPr>
          <w:rFonts w:hint="eastAsia" w:ascii="仿宋_GB2312" w:eastAsia="仿宋_GB2312" w:cs="Times New Roman"/>
          <w:color w:val="000000"/>
          <w:spacing w:val="-2"/>
          <w:kern w:val="2"/>
          <w:sz w:val="32"/>
          <w:szCs w:val="32"/>
          <w:lang w:val="en-US" w:eastAsia="zh-CN" w:bidi="ar-SA"/>
        </w:rPr>
        <w:t>56.87</w:t>
      </w:r>
      <w:r>
        <w:rPr>
          <w:rFonts w:hint="eastAsia" w:ascii="仿宋_GB2312" w:hAnsi="Calibri" w:eastAsia="仿宋_GB2312" w:cs="Times New Roman"/>
          <w:color w:val="000000"/>
          <w:spacing w:val="-2"/>
          <w:kern w:val="2"/>
          <w:sz w:val="32"/>
          <w:szCs w:val="32"/>
          <w:lang w:val="en-US" w:eastAsia="zh-CN" w:bidi="ar-SA"/>
        </w:rPr>
        <w:t>%；公务接待费决算支出3</w:t>
      </w:r>
      <w:r>
        <w:rPr>
          <w:rFonts w:hint="eastAsia" w:ascii="仿宋_GB2312" w:eastAsia="仿宋_GB2312" w:cs="Times New Roman"/>
          <w:color w:val="000000"/>
          <w:spacing w:val="-2"/>
          <w:kern w:val="2"/>
          <w:sz w:val="32"/>
          <w:szCs w:val="32"/>
          <w:lang w:val="en-US" w:eastAsia="zh-CN" w:bidi="ar-SA"/>
        </w:rPr>
        <w:t>.28</w:t>
      </w:r>
      <w:r>
        <w:rPr>
          <w:rFonts w:hint="eastAsia" w:ascii="仿宋_GB2312" w:hAnsi="Calibri" w:eastAsia="仿宋_GB2312" w:cs="Times New Roman"/>
          <w:color w:val="000000"/>
          <w:spacing w:val="-2"/>
          <w:kern w:val="2"/>
          <w:sz w:val="32"/>
          <w:szCs w:val="32"/>
          <w:lang w:val="en-US" w:eastAsia="zh-CN" w:bidi="ar-SA"/>
        </w:rPr>
        <w:t>万元，占</w:t>
      </w:r>
      <w:r>
        <w:rPr>
          <w:rFonts w:hint="eastAsia" w:ascii="仿宋_GB2312" w:eastAsia="仿宋_GB2312" w:cs="Times New Roman"/>
          <w:color w:val="000000"/>
          <w:spacing w:val="-2"/>
          <w:kern w:val="2"/>
          <w:sz w:val="32"/>
          <w:szCs w:val="32"/>
          <w:lang w:val="en-US" w:eastAsia="zh-CN" w:bidi="ar-SA"/>
        </w:rPr>
        <w:t>10.71</w:t>
      </w:r>
      <w:r>
        <w:rPr>
          <w:rFonts w:hint="eastAsia" w:ascii="仿宋_GB2312" w:hAnsi="Calibri" w:eastAsia="仿宋_GB2312" w:cs="Times New Roman"/>
          <w:color w:val="000000"/>
          <w:spacing w:val="-2"/>
          <w:kern w:val="2"/>
          <w:sz w:val="32"/>
          <w:szCs w:val="32"/>
          <w:lang w:val="en-US" w:eastAsia="zh-CN" w:bidi="ar-SA"/>
        </w:rPr>
        <w:t>%。</w:t>
      </w:r>
      <w:bookmarkStart w:id="1" w:name="_GoBack"/>
      <w:bookmarkEnd w:id="1"/>
    </w:p>
    <w:p>
      <w:pPr>
        <w:pStyle w:val="2"/>
        <w:keepNext w:val="0"/>
        <w:keepLines w:val="0"/>
        <w:pageBreakBefore w:val="0"/>
        <w:widowControl/>
        <w:kinsoku/>
        <w:wordWrap/>
        <w:overflowPunct/>
        <w:topLinePunct w:val="0"/>
        <w:autoSpaceDE/>
        <w:autoSpaceDN/>
        <w:bidi w:val="0"/>
        <w:adjustRightInd/>
        <w:spacing w:before="0" w:beforeAutospacing="0" w:after="0" w:afterAutospacing="0" w:line="560" w:lineRule="exact"/>
        <w:ind w:left="16" w:right="16"/>
        <w:jc w:val="both"/>
        <w:textAlignment w:val="auto"/>
        <w:rPr>
          <w:rFonts w:hint="eastAsia" w:ascii="仿宋_GB2312" w:hAnsi="Calibri" w:eastAsia="仿宋_GB2312" w:cs="Times New Roman"/>
          <w:color w:val="000000"/>
          <w:spacing w:val="-2"/>
          <w:kern w:val="2"/>
          <w:sz w:val="32"/>
          <w:szCs w:val="32"/>
          <w:lang w:val="en-US" w:eastAsia="zh-CN" w:bidi="ar-SA"/>
        </w:rPr>
      </w:pPr>
      <w:r>
        <w:rPr>
          <w:rFonts w:hint="eastAsia" w:ascii="仿宋_GB2312" w:eastAsia="仿宋_GB2312" w:cs="Times New Roman"/>
          <w:color w:val="000000"/>
          <w:spacing w:val="-2"/>
          <w:kern w:val="2"/>
          <w:sz w:val="32"/>
          <w:szCs w:val="32"/>
          <w:lang w:val="en-US" w:eastAsia="zh-CN" w:bidi="ar-SA"/>
        </w:rPr>
        <w:t xml:space="preserve">    </w:t>
      </w:r>
      <w:r>
        <w:rPr>
          <w:rFonts w:hint="eastAsia" w:ascii="楷体" w:hAnsi="楷体" w:eastAsia="楷体" w:cs="楷体"/>
          <w:color w:val="000000"/>
          <w:spacing w:val="-2"/>
          <w:kern w:val="2"/>
          <w:sz w:val="32"/>
          <w:szCs w:val="32"/>
          <w:lang w:val="en-US" w:eastAsia="zh-CN" w:bidi="ar-SA"/>
        </w:rPr>
        <w:t>（二）“三公”经费财政拨款具体支出情况说明及原因分析</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Calibri" w:eastAsia="仿宋_GB2312" w:cs="Times New Roman"/>
          <w:color w:val="000000"/>
          <w:spacing w:val="-2"/>
          <w:kern w:val="2"/>
          <w:sz w:val="32"/>
          <w:szCs w:val="32"/>
          <w:lang w:val="en-US" w:eastAsia="zh-CN" w:bidi="ar-SA"/>
        </w:rPr>
      </w:pPr>
      <w:r>
        <w:rPr>
          <w:rFonts w:hint="eastAsia" w:ascii="仿宋_GB2312" w:eastAsia="仿宋_GB2312" w:cs="Times New Roman"/>
          <w:color w:val="000000"/>
          <w:spacing w:val="-2"/>
          <w:kern w:val="2"/>
          <w:sz w:val="32"/>
          <w:szCs w:val="32"/>
          <w:lang w:val="en-US" w:eastAsia="zh-CN" w:bidi="ar-SA"/>
        </w:rPr>
        <w:t>1.</w:t>
      </w:r>
      <w:r>
        <w:rPr>
          <w:rFonts w:hint="eastAsia" w:ascii="仿宋_GB2312" w:hAnsi="Calibri" w:eastAsia="仿宋_GB2312" w:cs="Times New Roman"/>
          <w:color w:val="000000"/>
          <w:spacing w:val="-2"/>
          <w:kern w:val="2"/>
          <w:sz w:val="32"/>
          <w:szCs w:val="32"/>
          <w:lang w:val="en-US" w:eastAsia="zh-CN" w:bidi="ar-SA"/>
        </w:rPr>
        <w:t>“因公出国（境）支出”9.93万元，主要用于组织出国招聘团组赴海外招聘。较上年决算数8.67万元增加1.26万元，增幅14.53%，主要原因是：2015年我局按照省委常委工作要点分工和省政府重点工作要求，根据我省人才需求组织了2个出国招聘团组赴海外招聘，经费总体规模较2014年略有增加。</w:t>
      </w:r>
    </w:p>
    <w:p>
      <w:pPr>
        <w:pStyle w:val="2"/>
        <w:keepNext w:val="0"/>
        <w:keepLines w:val="0"/>
        <w:pageBreakBefore w:val="0"/>
        <w:widowControl/>
        <w:kinsoku/>
        <w:wordWrap/>
        <w:overflowPunct/>
        <w:topLinePunct w:val="0"/>
        <w:autoSpaceDE/>
        <w:autoSpaceDN/>
        <w:bidi w:val="0"/>
        <w:adjustRightInd/>
        <w:spacing w:before="0" w:beforeAutospacing="0" w:after="0" w:afterAutospacing="0" w:line="560" w:lineRule="exact"/>
        <w:ind w:left="16" w:right="16"/>
        <w:jc w:val="both"/>
        <w:textAlignment w:val="auto"/>
        <w:rPr>
          <w:rFonts w:hint="eastAsia" w:ascii="仿宋_GB2312" w:hAnsi="Calibri" w:eastAsia="仿宋_GB2312" w:cs="Times New Roman"/>
          <w:color w:val="000000"/>
          <w:spacing w:val="-2"/>
          <w:kern w:val="2"/>
          <w:sz w:val="32"/>
          <w:szCs w:val="32"/>
          <w:lang w:val="en-US" w:eastAsia="zh-CN" w:bidi="ar-SA"/>
        </w:rPr>
      </w:pPr>
      <w:r>
        <w:rPr>
          <w:rFonts w:hint="eastAsia" w:ascii="仿宋_GB2312" w:eastAsia="仿宋_GB2312" w:cs="Times New Roman"/>
          <w:color w:val="000000"/>
          <w:spacing w:val="-2"/>
          <w:kern w:val="2"/>
          <w:sz w:val="32"/>
          <w:szCs w:val="32"/>
          <w:lang w:val="en-US" w:eastAsia="zh-CN" w:bidi="ar-SA"/>
        </w:rPr>
        <w:t xml:space="preserve">    </w:t>
      </w:r>
      <w:r>
        <w:rPr>
          <w:rFonts w:hint="eastAsia" w:ascii="仿宋_GB2312" w:hAnsi="Calibri" w:eastAsia="仿宋_GB2312" w:cs="Times New Roman"/>
          <w:color w:val="000000"/>
          <w:spacing w:val="-2"/>
          <w:kern w:val="2"/>
          <w:sz w:val="32"/>
          <w:szCs w:val="32"/>
          <w:lang w:val="en-US" w:eastAsia="zh-CN" w:bidi="ar-SA"/>
        </w:rPr>
        <w:t>2</w:t>
      </w:r>
      <w:r>
        <w:rPr>
          <w:rFonts w:hint="eastAsia" w:ascii="仿宋_GB2312" w:eastAsia="仿宋_GB2312" w:cs="Times New Roman"/>
          <w:color w:val="000000"/>
          <w:spacing w:val="-2"/>
          <w:kern w:val="2"/>
          <w:sz w:val="32"/>
          <w:szCs w:val="32"/>
          <w:lang w:val="en-US" w:eastAsia="zh-CN" w:bidi="ar-SA"/>
        </w:rPr>
        <w:t>.</w:t>
      </w:r>
      <w:r>
        <w:rPr>
          <w:rFonts w:hint="eastAsia" w:ascii="仿宋_GB2312" w:hAnsi="Calibri" w:eastAsia="仿宋_GB2312" w:cs="Times New Roman"/>
          <w:color w:val="000000"/>
          <w:spacing w:val="-2"/>
          <w:kern w:val="2"/>
          <w:sz w:val="32"/>
          <w:szCs w:val="32"/>
          <w:lang w:val="en-US" w:eastAsia="zh-CN" w:bidi="ar-SA"/>
        </w:rPr>
        <w:t>“公务用车购置及运行维护费支出”</w:t>
      </w:r>
      <w:r>
        <w:rPr>
          <w:rFonts w:hint="eastAsia" w:ascii="仿宋_GB2312" w:eastAsia="仿宋_GB2312" w:cs="Times New Roman"/>
          <w:color w:val="000000"/>
          <w:spacing w:val="-2"/>
          <w:kern w:val="2"/>
          <w:sz w:val="32"/>
          <w:szCs w:val="32"/>
          <w:lang w:val="en-US" w:eastAsia="zh-CN" w:bidi="ar-SA"/>
        </w:rPr>
        <w:t>17.42</w:t>
      </w:r>
      <w:r>
        <w:rPr>
          <w:rFonts w:hint="eastAsia" w:ascii="仿宋_GB2312" w:hAnsi="Calibri" w:eastAsia="仿宋_GB2312" w:cs="Times New Roman"/>
          <w:color w:val="000000"/>
          <w:spacing w:val="-2"/>
          <w:kern w:val="2"/>
          <w:sz w:val="32"/>
          <w:szCs w:val="32"/>
          <w:lang w:val="en-US" w:eastAsia="zh-CN" w:bidi="ar-SA"/>
        </w:rPr>
        <w:t>万元。主要用于因公出行产</w:t>
      </w:r>
      <w:r>
        <w:rPr>
          <w:rFonts w:hint="eastAsia" w:ascii="仿宋_GB2312" w:eastAsia="仿宋_GB2312" w:cs="Times New Roman"/>
          <w:color w:val="000000"/>
          <w:spacing w:val="-2"/>
          <w:kern w:val="2"/>
          <w:sz w:val="32"/>
          <w:szCs w:val="32"/>
          <w:lang w:val="en-US" w:eastAsia="zh-CN" w:bidi="ar-SA"/>
        </w:rPr>
        <w:t>生</w:t>
      </w:r>
      <w:r>
        <w:rPr>
          <w:rFonts w:hint="eastAsia" w:ascii="仿宋_GB2312" w:hAnsi="Calibri" w:eastAsia="仿宋_GB2312" w:cs="Times New Roman"/>
          <w:color w:val="000000"/>
          <w:spacing w:val="-2"/>
          <w:kern w:val="2"/>
          <w:sz w:val="32"/>
          <w:szCs w:val="32"/>
          <w:lang w:val="en-US" w:eastAsia="zh-CN" w:bidi="ar-SA"/>
        </w:rPr>
        <w:t>的车辆燃料费、维修费、过桥过路费、保险费等。较上年决算数20.43万元减少</w:t>
      </w:r>
      <w:r>
        <w:rPr>
          <w:rFonts w:hint="eastAsia" w:ascii="仿宋_GB2312" w:eastAsia="仿宋_GB2312" w:cs="Times New Roman"/>
          <w:color w:val="000000"/>
          <w:spacing w:val="-2"/>
          <w:kern w:val="2"/>
          <w:sz w:val="32"/>
          <w:szCs w:val="32"/>
          <w:lang w:val="en-US" w:eastAsia="zh-CN" w:bidi="ar-SA"/>
        </w:rPr>
        <w:t>3.01</w:t>
      </w:r>
      <w:r>
        <w:rPr>
          <w:rFonts w:hint="eastAsia" w:ascii="仿宋_GB2312" w:hAnsi="Calibri" w:eastAsia="仿宋_GB2312" w:cs="Times New Roman"/>
          <w:color w:val="000000"/>
          <w:spacing w:val="-2"/>
          <w:kern w:val="2"/>
          <w:sz w:val="32"/>
          <w:szCs w:val="32"/>
          <w:lang w:val="en-US" w:eastAsia="zh-CN" w:bidi="ar-SA"/>
        </w:rPr>
        <w:t>万元</w:t>
      </w:r>
      <w:r>
        <w:rPr>
          <w:rFonts w:hint="eastAsia" w:ascii="仿宋_GB2312" w:eastAsia="仿宋_GB2312" w:cs="Times New Roman"/>
          <w:color w:val="000000"/>
          <w:spacing w:val="-2"/>
          <w:kern w:val="2"/>
          <w:sz w:val="32"/>
          <w:szCs w:val="32"/>
          <w:lang w:val="en-US" w:eastAsia="zh-CN" w:bidi="ar-SA"/>
        </w:rPr>
        <w:t>，</w:t>
      </w:r>
      <w:r>
        <w:rPr>
          <w:rFonts w:hint="eastAsia" w:ascii="仿宋_GB2312" w:hAnsi="Calibri" w:eastAsia="仿宋_GB2312" w:cs="Times New Roman"/>
          <w:color w:val="000000"/>
          <w:spacing w:val="-2"/>
          <w:kern w:val="2"/>
          <w:sz w:val="32"/>
          <w:szCs w:val="32"/>
          <w:lang w:val="en-US" w:eastAsia="zh-CN" w:bidi="ar-SA"/>
        </w:rPr>
        <w:t>主要原因是2015年实行了公车改革，</w:t>
      </w:r>
      <w:r>
        <w:rPr>
          <w:rFonts w:hint="eastAsia" w:ascii="仿宋_GB2312" w:eastAsia="仿宋_GB2312" w:cs="Times New Roman"/>
          <w:color w:val="000000"/>
          <w:spacing w:val="-2"/>
          <w:kern w:val="2"/>
          <w:sz w:val="32"/>
          <w:szCs w:val="32"/>
          <w:lang w:val="en-US" w:eastAsia="zh-CN" w:bidi="ar-SA"/>
        </w:rPr>
        <w:t>公务车减少1辆，</w:t>
      </w:r>
      <w:r>
        <w:rPr>
          <w:rFonts w:hint="eastAsia" w:ascii="仿宋_GB2312" w:hAnsi="Calibri" w:eastAsia="仿宋_GB2312" w:cs="Times New Roman"/>
          <w:color w:val="000000"/>
          <w:spacing w:val="-2"/>
          <w:kern w:val="2"/>
          <w:sz w:val="32"/>
          <w:szCs w:val="32"/>
          <w:lang w:val="en-US" w:eastAsia="zh-CN" w:bidi="ar-SA"/>
        </w:rPr>
        <w:t>相关公务运行维护费</w:t>
      </w:r>
      <w:r>
        <w:rPr>
          <w:rFonts w:hint="eastAsia" w:ascii="仿宋_GB2312" w:eastAsia="仿宋_GB2312" w:cs="Times New Roman"/>
          <w:color w:val="000000"/>
          <w:spacing w:val="-2"/>
          <w:kern w:val="2"/>
          <w:sz w:val="32"/>
          <w:szCs w:val="32"/>
          <w:lang w:val="en-US" w:eastAsia="zh-CN" w:bidi="ar-SA"/>
        </w:rPr>
        <w:t>有所</w:t>
      </w:r>
      <w:r>
        <w:rPr>
          <w:rFonts w:hint="eastAsia" w:ascii="仿宋_GB2312" w:hAnsi="Calibri" w:eastAsia="仿宋_GB2312" w:cs="Times New Roman"/>
          <w:color w:val="000000"/>
          <w:spacing w:val="-2"/>
          <w:kern w:val="2"/>
          <w:sz w:val="32"/>
          <w:szCs w:val="32"/>
          <w:lang w:val="en-US" w:eastAsia="zh-CN" w:bidi="ar-SA"/>
        </w:rPr>
        <w:t>减少。</w:t>
      </w:r>
    </w:p>
    <w:p>
      <w:pPr>
        <w:keepNext w:val="0"/>
        <w:keepLines w:val="0"/>
        <w:pageBreakBefore w:val="0"/>
        <w:kinsoku/>
        <w:wordWrap/>
        <w:overflowPunct/>
        <w:topLinePunct w:val="0"/>
        <w:autoSpaceDE/>
        <w:autoSpaceDN/>
        <w:bidi w:val="0"/>
        <w:adjustRightInd/>
        <w:spacing w:line="560" w:lineRule="exact"/>
        <w:jc w:val="both"/>
        <w:textAlignment w:val="auto"/>
        <w:rPr>
          <w:rFonts w:hint="default" w:ascii="仿宋_GB2312" w:hAnsi="Calibri" w:eastAsia="仿宋_GB2312" w:cs="Times New Roman"/>
          <w:color w:val="000000"/>
          <w:spacing w:val="-2"/>
          <w:kern w:val="2"/>
          <w:sz w:val="32"/>
          <w:szCs w:val="32"/>
          <w:lang w:val="en-US" w:eastAsia="zh-CN" w:bidi="ar-SA"/>
        </w:rPr>
      </w:pPr>
      <w:r>
        <w:rPr>
          <w:rFonts w:hint="eastAsia" w:ascii="仿宋_GB2312" w:hAnsi="Calibri" w:eastAsia="仿宋_GB2312" w:cs="Times New Roman"/>
          <w:color w:val="000000"/>
          <w:spacing w:val="-2"/>
          <w:kern w:val="2"/>
          <w:sz w:val="32"/>
          <w:szCs w:val="32"/>
          <w:lang w:val="en-US" w:eastAsia="zh-CN" w:bidi="ar-SA"/>
        </w:rPr>
        <w:t xml:space="preserve">    3</w:t>
      </w:r>
      <w:r>
        <w:rPr>
          <w:rFonts w:hint="eastAsia" w:ascii="仿宋_GB2312" w:eastAsia="仿宋_GB2312" w:cs="Times New Roman"/>
          <w:color w:val="000000"/>
          <w:spacing w:val="-2"/>
          <w:kern w:val="2"/>
          <w:sz w:val="32"/>
          <w:szCs w:val="32"/>
          <w:lang w:val="en-US" w:eastAsia="zh-CN" w:bidi="ar-SA"/>
        </w:rPr>
        <w:t>.</w:t>
      </w:r>
      <w:r>
        <w:rPr>
          <w:rFonts w:hint="eastAsia" w:ascii="仿宋_GB2312" w:hAnsi="Calibri" w:eastAsia="仿宋_GB2312" w:cs="Times New Roman"/>
          <w:color w:val="000000"/>
          <w:spacing w:val="-2"/>
          <w:kern w:val="2"/>
          <w:sz w:val="32"/>
          <w:szCs w:val="32"/>
          <w:lang w:val="en-US" w:eastAsia="zh-CN" w:bidi="ar-SA"/>
        </w:rPr>
        <w:t>“公务接待费”3</w:t>
      </w:r>
      <w:r>
        <w:rPr>
          <w:rFonts w:hint="eastAsia" w:ascii="仿宋_GB2312" w:eastAsia="仿宋_GB2312" w:cs="Times New Roman"/>
          <w:color w:val="000000"/>
          <w:spacing w:val="-2"/>
          <w:kern w:val="2"/>
          <w:sz w:val="32"/>
          <w:szCs w:val="32"/>
          <w:lang w:val="en-US" w:eastAsia="zh-CN" w:bidi="ar-SA"/>
        </w:rPr>
        <w:t>.28</w:t>
      </w:r>
      <w:r>
        <w:rPr>
          <w:rFonts w:hint="eastAsia" w:ascii="仿宋_GB2312" w:hAnsi="Calibri" w:eastAsia="仿宋_GB2312" w:cs="Times New Roman"/>
          <w:color w:val="000000"/>
          <w:spacing w:val="-2"/>
          <w:kern w:val="2"/>
          <w:sz w:val="32"/>
          <w:szCs w:val="32"/>
          <w:lang w:val="en-US" w:eastAsia="zh-CN" w:bidi="ar-SA"/>
        </w:rPr>
        <w:t>万元。较上年决算数1.6万元增加1.</w:t>
      </w:r>
      <w:r>
        <w:rPr>
          <w:rFonts w:hint="eastAsia" w:ascii="仿宋_GB2312" w:eastAsia="仿宋_GB2312" w:cs="Times New Roman"/>
          <w:color w:val="000000"/>
          <w:spacing w:val="-2"/>
          <w:kern w:val="2"/>
          <w:sz w:val="32"/>
          <w:szCs w:val="32"/>
          <w:lang w:val="en-US" w:eastAsia="zh-CN" w:bidi="ar-SA"/>
        </w:rPr>
        <w:t>68</w:t>
      </w:r>
      <w:r>
        <w:rPr>
          <w:rFonts w:hint="eastAsia" w:ascii="仿宋_GB2312" w:hAnsi="Calibri" w:eastAsia="仿宋_GB2312" w:cs="Times New Roman"/>
          <w:color w:val="000000"/>
          <w:spacing w:val="-2"/>
          <w:kern w:val="2"/>
          <w:sz w:val="32"/>
          <w:szCs w:val="32"/>
          <w:lang w:val="en-US" w:eastAsia="zh-CN" w:bidi="ar-SA"/>
        </w:rPr>
        <w:t>万元</w:t>
      </w:r>
      <w:r>
        <w:rPr>
          <w:rFonts w:hint="eastAsia" w:ascii="仿宋_GB2312" w:eastAsia="仿宋_GB2312" w:cs="Times New Roman"/>
          <w:color w:val="000000"/>
          <w:spacing w:val="-2"/>
          <w:kern w:val="2"/>
          <w:sz w:val="32"/>
          <w:szCs w:val="32"/>
          <w:lang w:val="en-US" w:eastAsia="zh-CN" w:bidi="ar-SA"/>
        </w:rPr>
        <w:t>。</w:t>
      </w:r>
      <w:r>
        <w:rPr>
          <w:rFonts w:hint="eastAsia" w:ascii="仿宋_GB2312" w:hAnsi="Calibri" w:eastAsia="仿宋_GB2312" w:cs="Times New Roman"/>
          <w:color w:val="000000"/>
          <w:spacing w:val="-2"/>
          <w:kern w:val="2"/>
          <w:sz w:val="32"/>
          <w:szCs w:val="32"/>
          <w:lang w:val="en-US" w:eastAsia="zh-CN" w:bidi="ar-SA"/>
        </w:rPr>
        <w:t>其中</w:t>
      </w:r>
      <w:r>
        <w:rPr>
          <w:rFonts w:hint="eastAsia" w:ascii="仿宋_GB2312" w:eastAsia="仿宋_GB2312" w:cs="Times New Roman"/>
          <w:color w:val="000000"/>
          <w:spacing w:val="-2"/>
          <w:kern w:val="2"/>
          <w:sz w:val="32"/>
          <w:szCs w:val="32"/>
          <w:lang w:val="en-US" w:eastAsia="zh-CN" w:bidi="ar-SA"/>
        </w:rPr>
        <w:t>，</w:t>
      </w:r>
      <w:r>
        <w:rPr>
          <w:rFonts w:hint="eastAsia" w:ascii="仿宋_GB2312" w:hAnsi="Calibri" w:eastAsia="仿宋_GB2312" w:cs="Times New Roman"/>
          <w:color w:val="000000"/>
          <w:spacing w:val="-2"/>
          <w:kern w:val="2"/>
          <w:sz w:val="32"/>
          <w:szCs w:val="32"/>
          <w:lang w:val="en-US" w:eastAsia="zh-CN" w:bidi="ar-SA"/>
        </w:rPr>
        <w:t>公务接待18批次，177人次。主要原因是2015年我局开展引才引智业务较多，</w:t>
      </w:r>
      <w:r>
        <w:rPr>
          <w:rFonts w:hint="eastAsia" w:ascii="仿宋_GB2312" w:eastAsia="仿宋_GB2312" w:cs="Times New Roman"/>
          <w:color w:val="000000"/>
          <w:spacing w:val="-2"/>
          <w:kern w:val="2"/>
          <w:sz w:val="32"/>
          <w:szCs w:val="32"/>
          <w:lang w:val="en-US" w:eastAsia="zh-CN" w:bidi="ar-SA"/>
        </w:rPr>
        <w:t>上级部门调研检查指导</w:t>
      </w:r>
      <w:r>
        <w:rPr>
          <w:rFonts w:hint="eastAsia" w:ascii="仿宋_GB2312" w:hAnsi="Calibri" w:eastAsia="仿宋_GB2312" w:cs="Times New Roman"/>
          <w:color w:val="000000"/>
          <w:spacing w:val="-2"/>
          <w:kern w:val="2"/>
          <w:sz w:val="32"/>
          <w:szCs w:val="32"/>
          <w:lang w:val="en-US" w:eastAsia="zh-CN" w:bidi="ar-SA"/>
        </w:rPr>
        <w:t>及兄弟省市到我省调研、</w:t>
      </w:r>
      <w:r>
        <w:rPr>
          <w:rFonts w:hint="eastAsia" w:ascii="仿宋_GB2312" w:eastAsia="仿宋_GB2312" w:cs="Times New Roman"/>
          <w:color w:val="000000"/>
          <w:spacing w:val="-2"/>
          <w:kern w:val="2"/>
          <w:sz w:val="32"/>
          <w:szCs w:val="32"/>
          <w:lang w:val="en-US" w:eastAsia="zh-CN" w:bidi="ar-SA"/>
        </w:rPr>
        <w:t>海外专家回国</w:t>
      </w:r>
      <w:r>
        <w:rPr>
          <w:rFonts w:hint="eastAsia" w:ascii="仿宋_GB2312" w:hAnsi="Calibri" w:eastAsia="仿宋_GB2312" w:cs="Times New Roman"/>
          <w:color w:val="000000"/>
          <w:spacing w:val="-2"/>
          <w:kern w:val="2"/>
          <w:sz w:val="32"/>
          <w:szCs w:val="32"/>
          <w:lang w:val="en-US" w:eastAsia="zh-CN" w:bidi="ar-SA"/>
        </w:rPr>
        <w:t>参加活动较频繁，2015年“接待费”有所增加。2014年我局接待费规模过小仅有1.6万元，未能</w:t>
      </w:r>
      <w:r>
        <w:rPr>
          <w:rFonts w:hint="eastAsia" w:ascii="仿宋_GB2312" w:eastAsia="仿宋_GB2312" w:cs="Times New Roman"/>
          <w:color w:val="000000"/>
          <w:spacing w:val="-2"/>
          <w:kern w:val="2"/>
          <w:sz w:val="32"/>
          <w:szCs w:val="32"/>
          <w:lang w:val="en-US" w:eastAsia="zh-CN" w:bidi="ar-SA"/>
        </w:rPr>
        <w:t>真</w:t>
      </w:r>
      <w:r>
        <w:rPr>
          <w:rFonts w:hint="eastAsia" w:ascii="仿宋_GB2312" w:hAnsi="Calibri" w:eastAsia="仿宋_GB2312" w:cs="Times New Roman"/>
          <w:color w:val="000000"/>
          <w:spacing w:val="-2"/>
          <w:kern w:val="2"/>
          <w:sz w:val="32"/>
          <w:szCs w:val="32"/>
          <w:lang w:val="en-US" w:eastAsia="zh-CN" w:bidi="ar-SA"/>
        </w:rPr>
        <w:t xml:space="preserve">实反映和保障我局正常的公务接待需求。       </w:t>
      </w:r>
    </w:p>
    <w:p>
      <w:pPr>
        <w:pStyle w:val="2"/>
        <w:keepNext w:val="0"/>
        <w:keepLines w:val="0"/>
        <w:pageBreakBefore w:val="0"/>
        <w:widowControl/>
        <w:kinsoku/>
        <w:wordWrap/>
        <w:overflowPunct/>
        <w:topLinePunct w:val="0"/>
        <w:autoSpaceDE/>
        <w:autoSpaceDN/>
        <w:bidi w:val="0"/>
        <w:adjustRightInd/>
        <w:spacing w:before="0" w:beforeAutospacing="0" w:after="0" w:afterAutospacing="0" w:line="560" w:lineRule="exact"/>
        <w:ind w:left="16" w:right="16"/>
        <w:jc w:val="both"/>
        <w:textAlignment w:val="auto"/>
        <w:rPr>
          <w:rStyle w:val="4"/>
          <w:rFonts w:hint="default" w:ascii="黑体" w:hAnsi="黑体" w:eastAsia="黑体" w:cs="黑体"/>
          <w:b w:val="0"/>
          <w:bCs w:val="0"/>
          <w:color w:val="000000"/>
          <w:kern w:val="2"/>
          <w:sz w:val="32"/>
          <w:szCs w:val="32"/>
          <w:shd w:val="clear" w:color="070000" w:fill="FFFFFF"/>
          <w:lang w:val="en-US" w:eastAsia="zh-CN" w:bidi="ar-SA"/>
        </w:rPr>
      </w:pPr>
      <w:r>
        <w:rPr>
          <w:rFonts w:hint="eastAsia" w:ascii="仿宋_GB2312" w:hAnsi="Calibri" w:eastAsia="仿宋_GB2312" w:cs="Times New Roman"/>
          <w:color w:val="000000"/>
          <w:spacing w:val="-2"/>
          <w:kern w:val="2"/>
          <w:sz w:val="32"/>
          <w:szCs w:val="32"/>
          <w:lang w:val="en-US" w:eastAsia="zh-CN" w:bidi="ar-SA"/>
        </w:rPr>
        <w:t xml:space="preserve">  </w:t>
      </w:r>
      <w:r>
        <w:rPr>
          <w:rStyle w:val="4"/>
          <w:rFonts w:hint="eastAsia" w:ascii="黑体" w:hAnsi="黑体" w:eastAsia="黑体" w:cs="黑体"/>
          <w:b w:val="0"/>
          <w:bCs w:val="0"/>
          <w:color w:val="000000"/>
          <w:kern w:val="2"/>
          <w:sz w:val="32"/>
          <w:szCs w:val="32"/>
          <w:shd w:val="clear" w:color="070000" w:fill="FFFFFF"/>
          <w:lang w:val="en-US" w:eastAsia="zh-CN" w:bidi="ar-SA"/>
        </w:rPr>
        <w:t xml:space="preserve"> 四、</w:t>
      </w:r>
      <w:r>
        <w:rPr>
          <w:rStyle w:val="4"/>
          <w:rFonts w:hint="default" w:ascii="黑体" w:hAnsi="黑体" w:eastAsia="黑体" w:cs="黑体"/>
          <w:b w:val="0"/>
          <w:bCs w:val="0"/>
          <w:color w:val="000000"/>
          <w:kern w:val="2"/>
          <w:sz w:val="32"/>
          <w:szCs w:val="32"/>
          <w:shd w:val="clear" w:color="070000" w:fill="FFFFFF"/>
          <w:lang w:val="en-US" w:eastAsia="zh-CN" w:bidi="ar-SA"/>
        </w:rPr>
        <w:t>2015年其他重要情况说明</w:t>
      </w:r>
    </w:p>
    <w:p>
      <w:pPr>
        <w:pStyle w:val="2"/>
        <w:keepNext w:val="0"/>
        <w:keepLines w:val="0"/>
        <w:pageBreakBefore w:val="0"/>
        <w:widowControl/>
        <w:kinsoku/>
        <w:wordWrap/>
        <w:overflowPunct/>
        <w:topLinePunct w:val="0"/>
        <w:autoSpaceDE/>
        <w:autoSpaceDN/>
        <w:bidi w:val="0"/>
        <w:adjustRightInd/>
        <w:spacing w:before="0" w:beforeAutospacing="0" w:after="0" w:afterAutospacing="0" w:line="560" w:lineRule="exact"/>
        <w:ind w:left="16" w:right="16" w:firstLine="640"/>
        <w:jc w:val="both"/>
        <w:textAlignment w:val="auto"/>
        <w:rPr>
          <w:rFonts w:hint="eastAsia" w:ascii="仿宋_GB2312" w:hAnsi="Calibri" w:eastAsia="仿宋_GB2312" w:cs="Times New Roman"/>
          <w:color w:val="000000"/>
          <w:spacing w:val="-2"/>
          <w:kern w:val="2"/>
          <w:sz w:val="32"/>
          <w:szCs w:val="32"/>
          <w:lang w:val="en-US" w:eastAsia="zh-CN" w:bidi="ar-SA"/>
        </w:rPr>
      </w:pPr>
      <w:r>
        <w:rPr>
          <w:rFonts w:hint="eastAsia" w:ascii="楷体" w:hAnsi="楷体" w:eastAsia="楷体" w:cs="楷体"/>
          <w:color w:val="000000"/>
          <w:spacing w:val="-2"/>
          <w:kern w:val="2"/>
          <w:sz w:val="32"/>
          <w:szCs w:val="32"/>
          <w:lang w:val="en-US" w:eastAsia="zh-CN" w:bidi="ar-SA"/>
        </w:rPr>
        <w:t>（一）机关经费支出情况说明。</w:t>
      </w:r>
      <w:r>
        <w:rPr>
          <w:rFonts w:hint="eastAsia" w:ascii="仿宋_GB2312" w:hAnsi="Calibri" w:eastAsia="仿宋_GB2312" w:cs="Times New Roman"/>
          <w:color w:val="000000"/>
          <w:spacing w:val="-2"/>
          <w:kern w:val="2"/>
          <w:sz w:val="32"/>
          <w:szCs w:val="32"/>
          <w:lang w:val="en-US" w:eastAsia="zh-CN" w:bidi="ar-SA"/>
        </w:rPr>
        <w:t>2015年我局机关运行经费支出36.39万元，与上年决算数基本持平。</w:t>
      </w:r>
    </w:p>
    <w:p>
      <w:pPr>
        <w:pStyle w:val="2"/>
        <w:keepNext w:val="0"/>
        <w:keepLines w:val="0"/>
        <w:pageBreakBefore w:val="0"/>
        <w:widowControl/>
        <w:kinsoku/>
        <w:wordWrap/>
        <w:overflowPunct/>
        <w:topLinePunct w:val="0"/>
        <w:autoSpaceDE/>
        <w:autoSpaceDN/>
        <w:bidi w:val="0"/>
        <w:adjustRightInd/>
        <w:spacing w:before="0" w:beforeAutospacing="0" w:after="0" w:afterAutospacing="0" w:line="560" w:lineRule="exact"/>
        <w:ind w:left="16" w:right="16" w:firstLine="640"/>
        <w:jc w:val="both"/>
        <w:textAlignment w:val="auto"/>
        <w:rPr>
          <w:rFonts w:hint="eastAsia" w:ascii="仿宋_GB2312" w:hAnsi="Calibri" w:eastAsia="仿宋_GB2312" w:cs="Times New Roman"/>
          <w:color w:val="000000"/>
          <w:spacing w:val="-2"/>
          <w:kern w:val="2"/>
          <w:sz w:val="32"/>
          <w:szCs w:val="32"/>
          <w:lang w:val="en-US" w:eastAsia="zh-CN" w:bidi="ar-SA"/>
        </w:rPr>
      </w:pPr>
      <w:r>
        <w:rPr>
          <w:rFonts w:hint="eastAsia" w:ascii="楷体" w:hAnsi="楷体" w:eastAsia="楷体" w:cs="楷体"/>
          <w:color w:val="000000"/>
          <w:spacing w:val="-2"/>
          <w:kern w:val="2"/>
          <w:sz w:val="32"/>
          <w:szCs w:val="32"/>
          <w:lang w:val="en-US" w:eastAsia="zh-CN" w:bidi="ar-SA"/>
        </w:rPr>
        <w:t>（二）政府采购支出情况说明。</w:t>
      </w:r>
      <w:r>
        <w:rPr>
          <w:rFonts w:hint="eastAsia" w:ascii="仿宋_GB2312" w:hAnsi="Calibri" w:eastAsia="仿宋_GB2312" w:cs="Times New Roman"/>
          <w:color w:val="000000"/>
          <w:spacing w:val="-2"/>
          <w:kern w:val="2"/>
          <w:sz w:val="32"/>
          <w:szCs w:val="32"/>
          <w:lang w:val="en-US" w:eastAsia="zh-CN" w:bidi="ar-SA"/>
        </w:rPr>
        <w:t>2015年政府采购支出总额28.153万元，其中：其中：使用财政资金批量跟单集中采购A3联想台式计算机7台2.163万元；使用自有资金（省引进领军人才专项资金结余）协议采购富士施乐多功能一体机1台25万元，惠普传真一体机2台0.54万元。</w:t>
      </w:r>
    </w:p>
    <w:p>
      <w:pPr>
        <w:pStyle w:val="2"/>
        <w:keepNext w:val="0"/>
        <w:keepLines w:val="0"/>
        <w:pageBreakBefore w:val="0"/>
        <w:widowControl/>
        <w:kinsoku/>
        <w:wordWrap/>
        <w:overflowPunct/>
        <w:topLinePunct w:val="0"/>
        <w:autoSpaceDE/>
        <w:autoSpaceDN/>
        <w:bidi w:val="0"/>
        <w:adjustRightInd/>
        <w:spacing w:before="0" w:beforeAutospacing="0" w:after="0" w:afterAutospacing="0" w:line="560" w:lineRule="exact"/>
        <w:ind w:left="16" w:right="16"/>
        <w:jc w:val="both"/>
        <w:textAlignment w:val="auto"/>
        <w:rPr>
          <w:rFonts w:hint="default" w:ascii="仿宋_GB2312" w:hAnsi="Calibri" w:eastAsia="仿宋_GB2312" w:cs="Times New Roman"/>
          <w:color w:val="000000"/>
          <w:spacing w:val="-2"/>
          <w:kern w:val="2"/>
          <w:sz w:val="32"/>
          <w:szCs w:val="32"/>
          <w:lang w:val="en-US" w:eastAsia="zh-CN" w:bidi="ar-SA"/>
        </w:rPr>
      </w:pPr>
      <w:r>
        <w:rPr>
          <w:rFonts w:hint="eastAsia" w:ascii="仿宋_GB2312" w:eastAsia="仿宋_GB2312" w:cs="Times New Roman"/>
          <w:color w:val="000000"/>
          <w:spacing w:val="-2"/>
          <w:kern w:val="2"/>
          <w:sz w:val="32"/>
          <w:szCs w:val="32"/>
          <w:lang w:val="en-US" w:eastAsia="zh-CN" w:bidi="ar-SA"/>
        </w:rPr>
        <w:t xml:space="preserve">    </w:t>
      </w:r>
      <w:r>
        <w:rPr>
          <w:rFonts w:hint="eastAsia" w:ascii="楷体" w:hAnsi="楷体" w:eastAsia="楷体" w:cs="楷体"/>
          <w:color w:val="000000"/>
          <w:spacing w:val="-2"/>
          <w:kern w:val="2"/>
          <w:sz w:val="32"/>
          <w:szCs w:val="32"/>
          <w:lang w:val="en-US" w:eastAsia="zh-CN" w:bidi="ar-SA"/>
        </w:rPr>
        <w:t>（三）国有资产占用情况。</w:t>
      </w:r>
      <w:r>
        <w:rPr>
          <w:rFonts w:hint="eastAsia" w:ascii="仿宋_GB2312" w:hAnsi="Calibri" w:eastAsia="仿宋_GB2312" w:cs="Times New Roman"/>
          <w:color w:val="000000"/>
          <w:spacing w:val="-2"/>
          <w:kern w:val="2"/>
          <w:sz w:val="32"/>
          <w:szCs w:val="32"/>
          <w:lang w:val="en-US" w:eastAsia="zh-CN" w:bidi="ar-SA"/>
        </w:rPr>
        <w:t>截至2015年12月31日，共有</w:t>
      </w:r>
      <w:r>
        <w:rPr>
          <w:rFonts w:hint="eastAsia" w:ascii="仿宋_GB2312" w:eastAsia="仿宋_GB2312" w:cs="Times New Roman"/>
          <w:color w:val="000000"/>
          <w:spacing w:val="-2"/>
          <w:kern w:val="2"/>
          <w:sz w:val="32"/>
          <w:szCs w:val="32"/>
          <w:lang w:val="en-US" w:eastAsia="zh-CN" w:bidi="ar-SA"/>
        </w:rPr>
        <w:t>公务用车</w:t>
      </w:r>
      <w:r>
        <w:rPr>
          <w:rFonts w:hint="eastAsia" w:ascii="仿宋_GB2312" w:hAnsi="Calibri" w:eastAsia="仿宋_GB2312" w:cs="Times New Roman"/>
          <w:color w:val="000000"/>
          <w:spacing w:val="-2"/>
          <w:kern w:val="2"/>
          <w:sz w:val="32"/>
          <w:szCs w:val="32"/>
          <w:lang w:val="en-US" w:eastAsia="zh-CN" w:bidi="ar-SA"/>
        </w:rPr>
        <w:t>3辆，其中，定向保障用车1辆、一般公务用车2辆；单位价值200万元以上大型设备0台（套）。</w:t>
      </w:r>
    </w:p>
    <w:p>
      <w:pPr>
        <w:pStyle w:val="2"/>
        <w:keepNext w:val="0"/>
        <w:keepLines w:val="0"/>
        <w:pageBreakBefore w:val="0"/>
        <w:widowControl/>
        <w:kinsoku/>
        <w:wordWrap/>
        <w:overflowPunct/>
        <w:topLinePunct w:val="0"/>
        <w:autoSpaceDE/>
        <w:autoSpaceDN/>
        <w:bidi w:val="0"/>
        <w:adjustRightInd/>
        <w:spacing w:before="0" w:beforeAutospacing="0" w:after="0" w:afterAutospacing="0" w:line="560" w:lineRule="exact"/>
        <w:ind w:left="16" w:right="16"/>
        <w:jc w:val="both"/>
        <w:textAlignment w:val="auto"/>
        <w:rPr>
          <w:rFonts w:hint="eastAsia" w:ascii="仿宋_GB2312" w:hAnsi="Calibri" w:eastAsia="仿宋_GB2312" w:cs="Times New Roman"/>
          <w:color w:val="000000"/>
          <w:spacing w:val="-2"/>
          <w:kern w:val="2"/>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624" w:leftChars="0" w:right="150"/>
        <w:jc w:val="left"/>
        <w:textAlignment w:val="auto"/>
        <w:rPr>
          <w:rFonts w:hint="default" w:ascii="仿宋_GB2312" w:hAnsi="Calibri" w:eastAsia="仿宋_GB2312" w:cs="Times New Roman"/>
          <w:color w:val="000000"/>
          <w:spacing w:val="-2"/>
          <w:kern w:val="2"/>
          <w:sz w:val="32"/>
          <w:szCs w:val="32"/>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150" w:right="150"/>
        <w:jc w:val="left"/>
        <w:textAlignment w:val="auto"/>
        <w:rPr>
          <w:rFonts w:hint="default" w:ascii="仿宋_GB2312" w:hAnsi="Calibri" w:eastAsia="仿宋_GB2312" w:cs="Times New Roman"/>
          <w:color w:val="000000"/>
          <w:spacing w:val="-2"/>
          <w:kern w:val="2"/>
          <w:sz w:val="32"/>
          <w:szCs w:val="32"/>
          <w:lang w:val="en-US" w:eastAsia="zh-CN" w:bidi="ar-SA"/>
        </w:rPr>
      </w:pPr>
      <w:r>
        <w:rPr>
          <w:rFonts w:hint="default" w:ascii="仿宋_GB2312" w:hAnsi="Calibri" w:eastAsia="仿宋_GB2312" w:cs="Times New Roman"/>
          <w:color w:val="000000"/>
          <w:spacing w:val="-2"/>
          <w:kern w:val="2"/>
          <w:sz w:val="32"/>
          <w:szCs w:val="32"/>
          <w:lang w:val="en-US" w:eastAsia="zh-CN" w:bidi="ar-SA"/>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20" w:firstLineChars="0"/>
        <w:jc w:val="left"/>
        <w:textAlignment w:val="auto"/>
        <w:outlineLvl w:val="9"/>
        <w:rPr>
          <w:rFonts w:hint="default" w:ascii="仿宋_GB2312" w:hAnsi="Calibri" w:eastAsia="仿宋_GB2312" w:cs="Times New Roman"/>
          <w:color w:val="000000"/>
          <w:spacing w:val="-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both"/>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both"/>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第四部分 名词解释</w:t>
      </w: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0" w:firstLineChars="0"/>
        <w:jc w:val="left"/>
        <w:textAlignment w:val="auto"/>
        <w:outlineLvl w:val="9"/>
        <w:rPr>
          <w:rFonts w:hint="eastAsia" w:ascii="仿宋_GB2312" w:eastAsia="仿宋_GB2312" w:cs="Times New Roman"/>
          <w:color w:val="000000"/>
          <w:spacing w:val="-2"/>
          <w:sz w:val="32"/>
          <w:szCs w:val="32"/>
          <w:lang w:val="en-US" w:eastAsia="zh-CN"/>
        </w:rPr>
      </w:pPr>
      <w:r>
        <w:rPr>
          <w:rFonts w:hint="eastAsia"/>
          <w:lang w:val="en-US" w:eastAsia="zh-CN"/>
        </w:rPr>
        <w:t xml:space="preserve">    </w:t>
      </w:r>
      <w:r>
        <w:rPr>
          <w:rFonts w:hint="eastAsia" w:ascii="楷体" w:hAnsi="楷体" w:eastAsia="楷体" w:cs="楷体"/>
          <w:b/>
          <w:bCs/>
          <w:lang w:val="en-US" w:eastAsia="zh-CN"/>
        </w:rPr>
        <w:t xml:space="preserve">  </w:t>
      </w:r>
      <w:r>
        <w:rPr>
          <w:rFonts w:hint="eastAsia" w:ascii="楷体" w:hAnsi="楷体" w:eastAsia="楷体" w:cs="楷体"/>
          <w:b/>
          <w:bCs/>
          <w:color w:val="000000"/>
          <w:spacing w:val="-2"/>
          <w:sz w:val="32"/>
          <w:szCs w:val="32"/>
          <w:lang w:val="en-US" w:eastAsia="zh-CN"/>
        </w:rPr>
        <w:t>一、年初结转和结余：</w:t>
      </w:r>
      <w:r>
        <w:rPr>
          <w:rFonts w:hint="eastAsia" w:ascii="仿宋_GB2312" w:eastAsia="仿宋_GB2312" w:cs="Times New Roman"/>
          <w:color w:val="000000"/>
          <w:spacing w:val="-2"/>
          <w:sz w:val="32"/>
          <w:szCs w:val="32"/>
          <w:lang w:val="en-US" w:eastAsia="zh-CN"/>
        </w:rPr>
        <w:t>指以前年度尚未完成、结转到本年按有关规定继续使用的资金。</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firstLine="0" w:firstLineChars="0"/>
        <w:jc w:val="left"/>
        <w:textAlignment w:val="auto"/>
        <w:rPr>
          <w:rFonts w:hint="eastAsia" w:ascii="仿宋_GB2312" w:eastAsia="仿宋_GB2312" w:cs="Times New Roman"/>
          <w:color w:val="000000"/>
          <w:spacing w:val="-2"/>
          <w:sz w:val="32"/>
          <w:szCs w:val="32"/>
          <w:lang w:val="en-US" w:eastAsia="zh-CN"/>
        </w:rPr>
      </w:pPr>
      <w:r>
        <w:rPr>
          <w:rFonts w:hint="eastAsia" w:ascii="仿宋_GB2312" w:eastAsia="仿宋_GB2312" w:cs="Times New Roman"/>
          <w:color w:val="000000"/>
          <w:spacing w:val="-2"/>
          <w:sz w:val="32"/>
          <w:szCs w:val="32"/>
          <w:lang w:val="en-US" w:eastAsia="zh-CN"/>
        </w:rPr>
        <w:t xml:space="preserve">    </w:t>
      </w:r>
      <w:r>
        <w:rPr>
          <w:rFonts w:hint="eastAsia" w:ascii="楷体" w:hAnsi="楷体" w:eastAsia="楷体" w:cs="楷体"/>
          <w:b/>
          <w:bCs/>
          <w:color w:val="000000"/>
          <w:spacing w:val="-2"/>
          <w:sz w:val="32"/>
          <w:szCs w:val="32"/>
          <w:lang w:val="en-US" w:eastAsia="zh-CN"/>
        </w:rPr>
        <w:t>二、年末结转和结余：</w:t>
      </w:r>
      <w:r>
        <w:rPr>
          <w:rFonts w:hint="eastAsia" w:ascii="仿宋_GB2312" w:eastAsia="仿宋_GB2312" w:cs="Times New Roman"/>
          <w:color w:val="000000"/>
          <w:spacing w:val="-2"/>
          <w:sz w:val="32"/>
          <w:szCs w:val="32"/>
          <w:lang w:val="en-US" w:eastAsia="zh-CN"/>
        </w:rPr>
        <w:t xml:space="preserve">指本年度或以前年度预算安排、因客观条件发生变化无法按原计划实施，需要延迟到以后年度按有关规定继续使用的资金。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0" w:firstLineChars="0"/>
        <w:jc w:val="left"/>
        <w:textAlignment w:val="auto"/>
        <w:outlineLvl w:val="9"/>
        <w:rPr>
          <w:rFonts w:hint="eastAsia" w:ascii="仿宋_GB2312" w:eastAsia="仿宋_GB2312" w:cs="Times New Roman"/>
          <w:color w:val="000000"/>
          <w:spacing w:val="-2"/>
          <w:sz w:val="32"/>
          <w:szCs w:val="32"/>
          <w:lang w:val="en-US" w:eastAsia="zh-CN"/>
        </w:rPr>
      </w:pPr>
      <w:r>
        <w:rPr>
          <w:rFonts w:hint="eastAsia" w:ascii="仿宋_GB2312" w:eastAsia="仿宋_GB2312" w:cs="Times New Roman"/>
          <w:color w:val="000000"/>
          <w:spacing w:val="-2"/>
          <w:sz w:val="32"/>
          <w:szCs w:val="32"/>
          <w:lang w:val="en-US" w:eastAsia="zh-CN"/>
        </w:rPr>
        <w:t xml:space="preserve">    </w:t>
      </w:r>
      <w:r>
        <w:rPr>
          <w:rFonts w:hint="eastAsia" w:ascii="楷体" w:hAnsi="楷体" w:eastAsia="楷体" w:cs="楷体"/>
          <w:b/>
          <w:bCs/>
          <w:color w:val="000000"/>
          <w:spacing w:val="-2"/>
          <w:sz w:val="32"/>
          <w:szCs w:val="32"/>
          <w:lang w:val="en-US" w:eastAsia="zh-CN"/>
        </w:rPr>
        <w:t>三、基本支出：</w:t>
      </w:r>
      <w:r>
        <w:rPr>
          <w:rFonts w:hint="eastAsia" w:ascii="仿宋_GB2312" w:eastAsia="仿宋_GB2312" w:cs="Times New Roman"/>
          <w:color w:val="000000"/>
          <w:spacing w:val="-2"/>
          <w:sz w:val="32"/>
          <w:szCs w:val="32"/>
          <w:lang w:val="en-US" w:eastAsia="zh-CN"/>
        </w:rPr>
        <w:t xml:space="preserve">指为保障机构正常运转、完成日常工作任务而发生的人员支出和公用支出。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0" w:firstLineChars="0"/>
        <w:jc w:val="left"/>
        <w:textAlignment w:val="auto"/>
        <w:outlineLvl w:val="9"/>
        <w:rPr>
          <w:rFonts w:hint="eastAsia" w:ascii="仿宋_GB2312" w:eastAsia="仿宋_GB2312" w:cs="Times New Roman"/>
          <w:color w:val="000000"/>
          <w:spacing w:val="-2"/>
          <w:sz w:val="32"/>
          <w:szCs w:val="32"/>
          <w:lang w:val="en-US" w:eastAsia="zh-CN"/>
        </w:rPr>
      </w:pPr>
      <w:r>
        <w:rPr>
          <w:rFonts w:hint="eastAsia" w:ascii="仿宋_GB2312" w:eastAsia="仿宋_GB2312" w:cs="Times New Roman"/>
          <w:color w:val="000000"/>
          <w:spacing w:val="-2"/>
          <w:sz w:val="32"/>
          <w:szCs w:val="32"/>
          <w:lang w:val="en-US" w:eastAsia="zh-CN"/>
        </w:rPr>
        <w:t xml:space="preserve">    </w:t>
      </w:r>
      <w:r>
        <w:rPr>
          <w:rFonts w:hint="eastAsia" w:ascii="楷体" w:hAnsi="楷体" w:eastAsia="楷体" w:cs="楷体"/>
          <w:b/>
          <w:bCs/>
          <w:color w:val="000000"/>
          <w:spacing w:val="-2"/>
          <w:sz w:val="32"/>
          <w:szCs w:val="32"/>
          <w:lang w:val="en-US" w:eastAsia="zh-CN"/>
        </w:rPr>
        <w:t>四、项目支出：</w:t>
      </w:r>
      <w:r>
        <w:rPr>
          <w:rFonts w:hint="eastAsia" w:ascii="仿宋_GB2312" w:eastAsia="仿宋_GB2312" w:cs="Times New Roman"/>
          <w:color w:val="000000"/>
          <w:spacing w:val="-2"/>
          <w:sz w:val="32"/>
          <w:szCs w:val="32"/>
          <w:lang w:val="en-US" w:eastAsia="zh-CN"/>
        </w:rPr>
        <w:t>指在基本支出之外为完成特定行政任务和事业发展目标所发生的支出。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0" w:firstLineChars="0"/>
        <w:jc w:val="left"/>
        <w:textAlignment w:val="auto"/>
        <w:outlineLvl w:val="9"/>
        <w:rPr>
          <w:rFonts w:hint="eastAsia" w:ascii="仿宋_GB2312" w:eastAsia="仿宋_GB2312" w:cs="Times New Roman"/>
          <w:color w:val="000000"/>
          <w:spacing w:val="-2"/>
          <w:sz w:val="32"/>
          <w:szCs w:val="32"/>
          <w:lang w:val="en-US" w:eastAsia="zh-CN"/>
        </w:rPr>
      </w:pPr>
      <w:r>
        <w:rPr>
          <w:rFonts w:hint="eastAsia" w:ascii="仿宋_GB2312" w:eastAsia="仿宋_GB2312" w:cs="Times New Roman"/>
          <w:color w:val="000000"/>
          <w:spacing w:val="-2"/>
          <w:sz w:val="32"/>
          <w:szCs w:val="32"/>
          <w:lang w:val="en-US" w:eastAsia="zh-CN"/>
        </w:rPr>
        <w:t xml:space="preserve">    </w:t>
      </w:r>
      <w:r>
        <w:rPr>
          <w:rFonts w:hint="eastAsia" w:ascii="楷体" w:hAnsi="楷体" w:eastAsia="楷体" w:cs="楷体"/>
          <w:b/>
          <w:bCs/>
          <w:color w:val="000000"/>
          <w:spacing w:val="-2"/>
          <w:sz w:val="32"/>
          <w:szCs w:val="32"/>
          <w:lang w:val="en-US" w:eastAsia="zh-CN"/>
        </w:rPr>
        <w:t>五、“三公”经费：</w:t>
      </w:r>
      <w:r>
        <w:rPr>
          <w:rFonts w:hint="eastAsia" w:ascii="仿宋_GB2312" w:eastAsia="仿宋_GB2312" w:cs="Times New Roman"/>
          <w:color w:val="000000"/>
          <w:spacing w:val="-2"/>
          <w:sz w:val="32"/>
          <w:szCs w:val="32"/>
          <w:lang w:val="en-US" w:eastAsia="zh-CN"/>
        </w:rPr>
        <w:t>纳入省级财政预决算管理的“三公”经费，是指单位用财政拨款安排的因公出国（境）费、公务用车购置及运行费和公务接待费。其中，因公出国（境）费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0" w:firstLineChars="0"/>
        <w:jc w:val="left"/>
        <w:textAlignment w:val="auto"/>
        <w:outlineLvl w:val="9"/>
        <w:rPr>
          <w:rFonts w:hint="eastAsia" w:ascii="仿宋_GB2312" w:eastAsia="仿宋_GB2312" w:cs="Times New Roman"/>
          <w:color w:val="000000"/>
          <w:spacing w:val="-2"/>
          <w:sz w:val="32"/>
          <w:szCs w:val="32"/>
          <w:lang w:val="en-US" w:eastAsia="zh-CN"/>
        </w:rPr>
      </w:pPr>
      <w:r>
        <w:rPr>
          <w:rFonts w:hint="eastAsia" w:ascii="仿宋_GB2312" w:eastAsia="仿宋_GB2312" w:cs="Times New Roman"/>
          <w:color w:val="000000"/>
          <w:spacing w:val="-2"/>
          <w:sz w:val="32"/>
          <w:szCs w:val="32"/>
          <w:lang w:val="en-US" w:eastAsia="zh-CN"/>
        </w:rPr>
        <w:t xml:space="preserve">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0" w:firstLineChars="0"/>
        <w:jc w:val="left"/>
        <w:textAlignment w:val="auto"/>
        <w:outlineLvl w:val="9"/>
        <w:rPr>
          <w:rFonts w:hint="eastAsia" w:ascii="仿宋_GB2312" w:eastAsia="仿宋_GB2312" w:cs="Times New Roman"/>
          <w:color w:val="000000"/>
          <w:spacing w:val="-2"/>
          <w:sz w:val="32"/>
          <w:szCs w:val="32"/>
          <w:lang w:val="en-US" w:eastAsia="zh-CN"/>
        </w:rPr>
      </w:pPr>
      <w:r>
        <w:rPr>
          <w:rFonts w:hint="eastAsia" w:ascii="仿宋_GB2312" w:eastAsia="仿宋_GB2312" w:cs="Times New Roman"/>
          <w:color w:val="000000"/>
          <w:spacing w:val="-2"/>
          <w:sz w:val="32"/>
          <w:szCs w:val="32"/>
          <w:lang w:val="en-US" w:eastAsia="zh-CN"/>
        </w:rPr>
        <w:t xml:space="preserve">   </w:t>
      </w:r>
      <w:r>
        <w:rPr>
          <w:rFonts w:hint="eastAsia" w:ascii="楷体" w:hAnsi="楷体" w:eastAsia="楷体" w:cs="楷体"/>
          <w:b/>
          <w:bCs/>
          <w:color w:val="000000"/>
          <w:spacing w:val="-2"/>
          <w:sz w:val="32"/>
          <w:szCs w:val="32"/>
          <w:lang w:val="en-US" w:eastAsia="zh-CN"/>
        </w:rPr>
        <w:t xml:space="preserve"> 六、机关运行经费：</w:t>
      </w:r>
      <w:r>
        <w:rPr>
          <w:rFonts w:hint="eastAsia" w:ascii="仿宋_GB2312" w:eastAsia="仿宋_GB2312" w:cs="Times New Roman"/>
          <w:color w:val="000000"/>
          <w:spacing w:val="-2"/>
          <w:sz w:val="32"/>
          <w:szCs w:val="32"/>
          <w:lang w:val="en-US" w:eastAsia="zh-CN"/>
        </w:rPr>
        <w:t xml:space="preserve">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黑体">
    <w:panose1 w:val="02010600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仿宋">
    <w:altName w:val="仿宋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黑体">
    <w:panose1 w:val="02010600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01C63BAB"/>
    <w:rsid w:val="06696FA3"/>
    <w:rsid w:val="06E463C7"/>
    <w:rsid w:val="09F74ECD"/>
    <w:rsid w:val="0CED3A85"/>
    <w:rsid w:val="11EE15E7"/>
    <w:rsid w:val="12D33F78"/>
    <w:rsid w:val="13C77A1C"/>
    <w:rsid w:val="16C61479"/>
    <w:rsid w:val="1B2C4B04"/>
    <w:rsid w:val="1C29780A"/>
    <w:rsid w:val="1EAA71AC"/>
    <w:rsid w:val="1FBD734D"/>
    <w:rsid w:val="22753F38"/>
    <w:rsid w:val="22DC3DAF"/>
    <w:rsid w:val="239F2DCB"/>
    <w:rsid w:val="247B1C8F"/>
    <w:rsid w:val="24D22691"/>
    <w:rsid w:val="27BA0CBD"/>
    <w:rsid w:val="28723C34"/>
    <w:rsid w:val="28816BAC"/>
    <w:rsid w:val="2ADB349A"/>
    <w:rsid w:val="2DA330FB"/>
    <w:rsid w:val="2DE31EC6"/>
    <w:rsid w:val="2FF3554F"/>
    <w:rsid w:val="30B96259"/>
    <w:rsid w:val="30FA25D1"/>
    <w:rsid w:val="33477FF4"/>
    <w:rsid w:val="35552F9F"/>
    <w:rsid w:val="368150E5"/>
    <w:rsid w:val="36DC3A74"/>
    <w:rsid w:val="379E46DE"/>
    <w:rsid w:val="38D85AD8"/>
    <w:rsid w:val="39CD31B4"/>
    <w:rsid w:val="3B5E7251"/>
    <w:rsid w:val="3C9A45CC"/>
    <w:rsid w:val="3CBE1E9D"/>
    <w:rsid w:val="43953D07"/>
    <w:rsid w:val="48503410"/>
    <w:rsid w:val="492C0484"/>
    <w:rsid w:val="49CD6B95"/>
    <w:rsid w:val="502A2B1F"/>
    <w:rsid w:val="5960015C"/>
    <w:rsid w:val="5A0260E7"/>
    <w:rsid w:val="5A791BF5"/>
    <w:rsid w:val="5BE0085C"/>
    <w:rsid w:val="60696CC1"/>
    <w:rsid w:val="61025770"/>
    <w:rsid w:val="61FE3DE5"/>
    <w:rsid w:val="637A1AE8"/>
    <w:rsid w:val="641B65EC"/>
    <w:rsid w:val="6C7D675D"/>
    <w:rsid w:val="6CD456F9"/>
    <w:rsid w:val="6EE1105C"/>
    <w:rsid w:val="70BA1248"/>
    <w:rsid w:val="71BF2130"/>
    <w:rsid w:val="71E119C5"/>
    <w:rsid w:val="71EC0148"/>
    <w:rsid w:val="73AF02AD"/>
    <w:rsid w:val="76586452"/>
    <w:rsid w:val="76942EB7"/>
    <w:rsid w:val="770A78C3"/>
    <w:rsid w:val="785E2334"/>
    <w:rsid w:val="7A64269F"/>
    <w:rsid w:val="7B2B1C1B"/>
    <w:rsid w:val="7D1D0036"/>
    <w:rsid w:val="7EAA534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Normal (Web)"/>
    <w:basedOn w:val="1"/>
    <w:qFormat/>
    <w:uiPriority w:val="0"/>
    <w:pPr>
      <w:spacing w:before="0" w:beforeAutospacing="1" w:after="270" w:afterAutospacing="0"/>
      <w:ind w:left="0" w:right="0"/>
      <w:jc w:val="left"/>
    </w:pPr>
    <w:rPr>
      <w:kern w:val="0"/>
      <w:sz w:val="24"/>
      <w:lang w:val="en-US" w:eastAsia="zh-CN"/>
    </w:rPr>
  </w:style>
  <w:style w:type="character" w:styleId="4">
    <w:name w:val="Strong"/>
    <w:basedOn w:val="3"/>
    <w:qFormat/>
    <w:uiPriority w:val="0"/>
    <w:rPr>
      <w:b/>
    </w:rPr>
  </w:style>
  <w:style w:type="character" w:styleId="5">
    <w:name w:val="FollowedHyperlink"/>
    <w:basedOn w:val="3"/>
    <w:qFormat/>
    <w:uiPriority w:val="0"/>
    <w:rPr>
      <w:color w:val="555555"/>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qFormat/>
    <w:uiPriority w:val="0"/>
    <w:rPr>
      <w:color w:val="555555"/>
      <w:u w:val="none"/>
    </w:rPr>
  </w:style>
  <w:style w:type="character" w:styleId="10">
    <w:name w:val="HTML Code"/>
    <w:basedOn w:val="3"/>
    <w:qFormat/>
    <w:uiPriority w:val="0"/>
    <w:rPr>
      <w:rFonts w:hint="eastAsia" w:ascii="微软雅黑" w:hAnsi="微软雅黑" w:eastAsia="微软雅黑" w:cs="微软雅黑"/>
      <w:sz w:val="20"/>
    </w:rPr>
  </w:style>
  <w:style w:type="character" w:styleId="11">
    <w:name w:val="HTML Cite"/>
    <w:basedOn w:val="3"/>
    <w:qFormat/>
    <w:uiPriority w:val="0"/>
  </w:style>
  <w:style w:type="character" w:styleId="12">
    <w:name w:val="HTML Keyboard"/>
    <w:basedOn w:val="3"/>
    <w:qFormat/>
    <w:uiPriority w:val="0"/>
    <w:rPr>
      <w:rFonts w:hint="eastAsia" w:ascii="微软雅黑" w:hAnsi="微软雅黑" w:eastAsia="微软雅黑" w:cs="微软雅黑"/>
      <w:sz w:val="20"/>
    </w:rPr>
  </w:style>
  <w:style w:type="character" w:styleId="13">
    <w:name w:val="HTML Sample"/>
    <w:basedOn w:val="3"/>
    <w:qFormat/>
    <w:uiPriority w:val="0"/>
    <w:rPr>
      <w:rFonts w:hint="eastAsia" w:ascii="微软雅黑" w:hAnsi="微软雅黑" w:eastAsia="微软雅黑" w:cs="微软雅黑"/>
    </w:rPr>
  </w:style>
  <w:style w:type="character" w:customStyle="1" w:styleId="15">
    <w:name w:val="titlef"/>
    <w:basedOn w:val="3"/>
    <w:qFormat/>
    <w:uiPriority w:val="0"/>
    <w:rPr>
      <w:rFonts w:ascii="微软雅黑" w:hAnsi="微软雅黑" w:eastAsia="微软雅黑" w:cs="微软雅黑"/>
      <w:color w:val="FFFFFF"/>
      <w:sz w:val="27"/>
      <w:szCs w:val="27"/>
    </w:rPr>
  </w:style>
  <w:style w:type="character" w:customStyle="1" w:styleId="16">
    <w:name w:val="more"/>
    <w:basedOn w:val="3"/>
    <w:qFormat/>
    <w:uiPriority w:val="0"/>
    <w:rPr>
      <w:color w:val="FFFFFF"/>
    </w:rPr>
  </w:style>
  <w:style w:type="character" w:customStyle="1" w:styleId="17">
    <w:name w:val="num"/>
    <w:basedOn w:val="3"/>
    <w:qFormat/>
    <w:uiPriority w:val="0"/>
    <w:rPr>
      <w:b/>
      <w:color w:val="FF7800"/>
    </w:rPr>
  </w:style>
  <w:style w:type="character" w:customStyle="1" w:styleId="18">
    <w:name w:val="legend"/>
    <w:basedOn w:val="3"/>
    <w:qFormat/>
    <w:uiPriority w:val="0"/>
    <w:rPr>
      <w:rFonts w:ascii="Arial" w:hAnsi="Arial" w:cs="Arial"/>
      <w:b/>
      <w:color w:val="73B304"/>
      <w:sz w:val="21"/>
      <w:szCs w:val="21"/>
      <w:shd w:val="clear" w:color="050000" w:fill="FFFFFF"/>
    </w:rPr>
  </w:style>
  <w:style w:type="character" w:customStyle="1" w:styleId="19">
    <w:name w:val="release-day"/>
    <w:basedOn w:val="3"/>
    <w:qFormat/>
    <w:uiPriority w:val="0"/>
    <w:rPr>
      <w:bdr w:val="single" w:color="BDEBB0" w:sz="6" w:space="0"/>
      <w:shd w:val="clear" w:color="010000" w:fill="F5FFF1"/>
    </w:rPr>
  </w:style>
  <w:style w:type="character" w:customStyle="1" w:styleId="20">
    <w:name w:val="font01"/>
    <w:basedOn w:val="3"/>
    <w:qFormat/>
    <w:uiPriority w:val="0"/>
    <w:rPr>
      <w:rFonts w:ascii="Arial" w:hAnsi="Arial" w:cs="Arial"/>
      <w:color w:val="000000"/>
      <w:sz w:val="30"/>
      <w:szCs w:val="30"/>
      <w:u w:val="none"/>
    </w:rPr>
  </w:style>
  <w:style w:type="character" w:customStyle="1" w:styleId="21">
    <w:name w:val="font31"/>
    <w:basedOn w:val="3"/>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zub</dc:creator>
  <cp:lastModifiedBy>Administrator</cp:lastModifiedBy>
  <dcterms:modified xsi:type="dcterms:W3CDTF">2016-09-07T02:38:34Z</dcterms:modified>
  <dc:title>2015年度广东省外国专家局部门决算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